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oter11.xml" ContentType="application/vnd.openxmlformats-officedocument.wordprocessingml.footer+xml"/>
  <Override PartName="/word/footer8.xml" ContentType="application/vnd.openxmlformats-officedocument.wordprocessingml.footer+xml"/>
  <Override PartName="/word/footer10.xml" ContentType="application/vnd.openxmlformats-officedocument.wordprocessingml.footer+xml"/>
  <Override PartName="/word/footer7.xml" ContentType="application/vnd.openxmlformats-officedocument.wordprocessingml.footer+xml"/>
  <Override PartName="/word/media/image1.wmf" ContentType="image/x-wmf"/>
  <Override PartName="/word/media/image2.wmf" ContentType="image/x-wmf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oter5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9.xml" ContentType="application/vnd.openxmlformats-officedocument.wordprocessingml.footer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6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mbeddings/oleObject1.xlsx" ContentType="application/vnd.openxmlformats-officedocument.spreadsheetml.sheet"/>
  <Override PartName="/word/embeddings/oleObject2.xlsx" ContentType="application/vnd.openxmlformats-officedocument.spreadsheetml.sheet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567" w:leader="none"/>
          <w:tab w:val="left" w:pos="7513" w:leader="none"/>
        </w:tabs>
        <w:spacing w:lineRule="auto" w:line="240" w:before="0" w:after="0"/>
        <w:jc w:val="right"/>
        <w:rPr>
          <w:highlight w:val="none"/>
          <w:shd w:fill="auto" w:val="clear"/>
        </w:rPr>
      </w:pPr>
      <w:r>
        <w:rPr>
          <w:rFonts w:ascii="Times New Roman" w:hAnsi="Times New Roman"/>
          <w:bCs/>
          <w:sz w:val="28"/>
          <w:szCs w:val="28"/>
          <w:shd w:fill="auto" w:val="clear"/>
        </w:rPr>
        <w:t xml:space="preserve">Приложение </w:t>
      </w:r>
      <w:r>
        <w:rPr>
          <w:rFonts w:ascii="Times New Roman" w:hAnsi="Times New Roman"/>
          <w:bCs/>
          <w:sz w:val="28"/>
          <w:szCs w:val="28"/>
          <w:shd w:fill="auto" w:val="clear"/>
        </w:rPr>
        <w:t>2</w:t>
      </w:r>
      <w:r>
        <w:rPr>
          <w:rFonts w:ascii="Times New Roman" w:hAnsi="Times New Roman"/>
          <w:bCs/>
          <w:sz w:val="28"/>
          <w:szCs w:val="28"/>
          <w:shd w:fill="auto" w:val="clear"/>
        </w:rPr>
        <w:t xml:space="preserve"> </w:t>
        <w:br/>
        <w:t>к Техническим требованиям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rFonts w:ascii="Times New Roman" w:hAnsi="Times New Roman"/>
          <w:b/>
          <w:bCs/>
          <w:shd w:fill="auto" w:val="clear"/>
        </w:rPr>
      </w:r>
    </w:p>
    <w:p>
      <w:pPr>
        <w:sectPr>
          <w:footerReference w:type="default" r:id="rId2"/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b/>
          <w:bCs/>
          <w:sz w:val="28"/>
          <w:szCs w:val="28"/>
          <w:shd w:fill="auto" w:val="clear"/>
        </w:rPr>
        <w:t xml:space="preserve">Требования к оформлению и составлению документации по ценообразованию </w:t>
      </w:r>
    </w:p>
    <w:p>
      <w:pPr>
        <w:pStyle w:val="TOC1"/>
        <w:rPr>
          <w:highlight w:val="none"/>
          <w:shd w:fill="auto" w:val="clear"/>
        </w:rPr>
      </w:pPr>
      <w:r>
        <w:rPr>
          <w:shd w:fill="auto" w:val="clear"/>
        </w:rPr>
        <w:t>СОДЕРЖАНИЕ:</w:t>
      </w:r>
    </w:p>
    <w:p>
      <w:pPr>
        <w:pStyle w:val="TOC1"/>
        <w:rPr>
          <w:highlight w:val="none"/>
          <w:shd w:fill="auto" w:val="clear"/>
        </w:rPr>
      </w:pPr>
      <w:r>
        <w:rPr>
          <w:shd w:fill="auto" w:val="clear"/>
        </w:rPr>
        <w:t xml:space="preserve"> </w:t>
      </w:r>
    </w:p>
    <w:tbl>
      <w:tblPr>
        <w:tblStyle w:val="af"/>
        <w:tblW w:w="1023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59"/>
        <w:gridCol w:w="8917"/>
        <w:gridCol w:w="663"/>
      </w:tblGrid>
      <w:tr>
        <w:trPr/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hd w:fill="auto" w:val="clear"/>
                <w:lang w:val="ru-RU" w:eastAsia="ru-RU" w:bidi="ar-SA"/>
              </w:rPr>
              <w:t xml:space="preserve">№№ </w:t>
            </w:r>
            <w:r>
              <w:rPr>
                <w:rFonts w:eastAsia="Times New Roman" w:cs="Times New Roman" w:ascii="Times New Roman" w:hAnsi="Times New Roman"/>
                <w:b/>
                <w:kern w:val="0"/>
                <w:shd w:fill="auto" w:val="clear"/>
                <w:lang w:val="ru-RU" w:eastAsia="ru-RU" w:bidi="ar-SA"/>
              </w:rPr>
              <w:t>пп</w:t>
            </w:r>
          </w:p>
        </w:tc>
        <w:tc>
          <w:tcPr>
            <w:tcW w:w="89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hd w:fill="auto" w:val="clear"/>
                <w:lang w:val="ru-RU" w:eastAsia="ru-RU" w:bidi="ar-SA"/>
              </w:rPr>
              <w:t xml:space="preserve">Наименование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hd w:fill="auto" w:val="clear"/>
                <w:lang w:val="ru-RU" w:eastAsia="ru-RU" w:bidi="ar-SA"/>
              </w:rPr>
              <w:t>Стр.</w:t>
            </w:r>
          </w:p>
        </w:tc>
      </w:tr>
      <w:tr>
        <w:trPr>
          <w:trHeight w:val="463" w:hRule="atLeas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100" w:after="0"/>
              <w:jc w:val="lef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hd w:fill="auto" w:val="clear"/>
                <w:lang w:val="ru-RU" w:eastAsia="ru-RU" w:bidi="ar-SA"/>
              </w:rPr>
              <w:t>1</w:t>
            </w:r>
            <w:r>
              <w:rPr>
                <w:rFonts w:eastAsia="Times New Roman" w:cs="Times New Roman" w:ascii="Times New Roman" w:hAnsi="Times New Roman"/>
                <w:kern w:val="0"/>
                <w:shd w:fill="auto" w:val="clear"/>
                <w:lang w:val="ru-RU" w:eastAsia="ru-RU" w:bidi="ar-SA"/>
              </w:rPr>
              <w:t>.</w:t>
            </w:r>
          </w:p>
        </w:tc>
        <w:tc>
          <w:tcPr>
            <w:tcW w:w="89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100" w:after="0"/>
              <w:jc w:val="lef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hd w:fill="auto" w:val="clear"/>
                <w:lang w:val="ru-RU" w:eastAsia="ru-RU" w:bidi="ar-SA"/>
              </w:rPr>
              <w:t xml:space="preserve">Требования к оформлению и составлению сметной документации на выполнение проектных и изыскательских работ…………………………………………………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exact" w:line="240" w:before="100" w:after="0"/>
              <w:jc w:val="lef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kern w:val="0"/>
                <w:shd w:fill="auto" w:val="clear"/>
                <w:lang w:val="ru-RU" w:eastAsia="ru-RU" w:bidi="ar-SA"/>
              </w:rPr>
              <w:t>3</w:t>
            </w:r>
          </w:p>
        </w:tc>
      </w:tr>
    </w:tbl>
    <w:p>
      <w:pPr>
        <w:pStyle w:val="Normal"/>
        <w:spacing w:lineRule="auto" w:line="240" w:before="0" w:after="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Calibri"/>
          <w:highlight w:val="none"/>
          <w:shd w:fill="auto" w:val="clear"/>
        </w:rPr>
      </w:pPr>
      <w:r>
        <w:rPr>
          <w:rFonts w:eastAsia="Calibri" w:ascii="Times New Roman" w:hAnsi="Times New Roman"/>
          <w:shd w:fill="auto" w:val="clear"/>
        </w:rPr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Calibri"/>
          <w:highlight w:val="none"/>
          <w:shd w:fill="auto" w:val="clear"/>
        </w:rPr>
      </w:pPr>
      <w:r>
        <w:rPr>
          <w:rFonts w:eastAsia="Calibri" w:ascii="Times New Roman" w:hAnsi="Times New Roman"/>
          <w:shd w:fill="auto" w:val="clear"/>
        </w:rPr>
      </w:r>
      <w:r>
        <w:br w:type="page"/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eastAsia="Calibri"/>
          <w:highlight w:val="none"/>
          <w:shd w:fill="auto" w:val="clear"/>
        </w:rPr>
      </w:pPr>
      <w:r>
        <w:rPr>
          <w:rFonts w:eastAsia="Calibri" w:ascii="Times New Roman" w:hAnsi="Times New Roman"/>
          <w:shd w:fill="auto" w:val="clear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/>
          <w:highlight w:val="none"/>
          <w:shd w:fill="auto" w:val="clear"/>
        </w:rPr>
      </w:pPr>
      <w:r>
        <w:rPr>
          <w:rFonts w:eastAsia="Calibri" w:ascii="Times New Roman" w:hAnsi="Times New Roman"/>
          <w:shd w:fill="auto" w:val="clear"/>
        </w:rPr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b/>
          <w:sz w:val="24"/>
          <w:szCs w:val="24"/>
          <w:shd w:fill="auto" w:val="clear"/>
        </w:rPr>
        <w:t>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b/>
          <w:sz w:val="24"/>
          <w:szCs w:val="24"/>
          <w:shd w:fill="auto" w:val="clear"/>
        </w:rPr>
        <w:t>сметной документации на выполнение проектных и изыскательских работ.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Сметный расчет стоимости изыскательских работ составляется в соответствии с </w:t>
      </w:r>
    </w:p>
    <w:p>
      <w:pPr>
        <w:pStyle w:val="ListParagraph"/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>
          <w:sz w:val="24"/>
          <w:szCs w:val="24"/>
          <w:shd w:fill="auto" w:val="clear"/>
        </w:rPr>
        <w:t xml:space="preserve"> </w:t>
      </w:r>
      <w:r>
        <w:rPr>
          <w:rFonts w:ascii="Times New Roman" w:hAnsi="Times New Roman"/>
          <w:sz w:val="24"/>
          <w:szCs w:val="24"/>
          <w:shd w:fill="auto" w:val="clear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 - Методика №620) 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РФ от 1 октября 2021 г. N 707/пр. (далее – Методика №707) не противоречащим положениям Методики №620 и Справочникам базовых цен (далее – СБЦ) на проектные работы в строительстве . 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При определении стоимости изыскательских работ </w:t>
      </w:r>
      <w:r>
        <w:rPr>
          <w:rFonts w:ascii="Times New Roman" w:hAnsi="Times New Roman"/>
          <w:b/>
          <w:sz w:val="24"/>
          <w:szCs w:val="24"/>
          <w:shd w:fill="auto" w:val="clear"/>
        </w:rPr>
        <w:t>по согласованию с Заказчиком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 возможно применять следующие коэффициенты в соответствии с письмом ПАО «ПНИИИС» от 03.04.2014 №11/298: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1,15 – «при выполнении полевых работ на территориях гидроэлектростанций и ТЭЦ» (п. 8 в Общих указаний) – на всех гидроэлектростанциях и ТЭЦ, кроме станций Северного Кавказа и Амурской области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sz w:val="24"/>
          <w:szCs w:val="24"/>
          <w:shd w:fill="auto" w:val="clear"/>
          <w:lang w:val="en-US"/>
        </w:rPr>
        <w:t>II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 составлении сметной документации на подготовку проектной документации рекомендуется дополнить Технические требования пунктом о составлении проектной организацией Ведомости объемов конструктивных решений (элементов) и комплексов (видов) работ, оборудования.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spacing w:before="40" w:after="40"/>
        <w:ind w:left="0"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В сметных расчетах допускается использовать прогнозные индексы-дефляторы в соответствии с текущим прогнозом Министерства экономического развития РФ по строке ИПЦ (индекс потребительских цен), в среднем за год, вариант – базовый (указать реквизиты приказа при формировании ТТ) в размере … (указать размер применяемых индексов-дефляторов). </w:t>
      </w:r>
    </w:p>
    <w:p>
      <w:pPr>
        <w:pStyle w:val="ConsPlusNormal1"/>
        <w:widowControl/>
        <w:tabs>
          <w:tab w:val="clear" w:pos="709"/>
          <w:tab w:val="left" w:pos="1134" w:leader="none"/>
        </w:tabs>
        <w:spacing w:before="40" w:after="40"/>
        <w:ind w:left="567" w:hanging="0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Стоимость работ определяется по формуле: </w:t>
      </w:r>
    </w:p>
    <w:p>
      <w:pPr>
        <w:pStyle w:val="ConsPlusNormal1"/>
        <w:spacing w:before="40" w:after="40"/>
        <w:ind w:firstLine="1276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  </w:t>
      </w:r>
      <w:r>
        <w:rPr>
          <w:shd w:fill="auto" w:val="clear"/>
        </w:rPr>
      </w:r>
      <m:oMath xmlns:m="http://schemas.openxmlformats.org/officeDocument/2006/math">
        <m:r>
          <w:rPr>
            <w:rFonts w:ascii="Cambria Math" w:hAnsi="Cambria Math"/>
          </w:rPr>
          <m:t xml:space="preserve">Цд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С</m:t>
        </m:r>
        <m:r>
          <w:rPr>
            <w:rFonts w:ascii="Cambria Math" w:hAnsi="Cambria Math"/>
          </w:rPr>
          <m:t xml:space="preserve">∗</m:t>
        </m:r>
        <m:r>
          <w:rPr>
            <w:rFonts w:ascii="Cambria Math" w:hAnsi="Cambria Math"/>
          </w:rPr>
          <m:t xml:space="preserve">Иинфл</m:t>
        </m:r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1</m:t>
            </m:r>
          </m:e>
        </m:d>
      </m:oMath>
    </w:p>
    <w:p>
      <w:pPr>
        <w:pStyle w:val="ConsPlusNormal1"/>
        <w:widowControl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где</w:t>
      </w:r>
    </w:p>
    <w:p>
      <w:pPr>
        <w:pStyle w:val="ConsPlusNormal1"/>
        <w:widowControl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Цд – стоимость договора;</w:t>
      </w:r>
    </w:p>
    <w:p>
      <w:pPr>
        <w:pStyle w:val="ConsPlusNormal1"/>
        <w:widowControl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С - сметная стоимость подрядных работ, подлежащих выполнению подрядчиком; </w:t>
      </w:r>
    </w:p>
    <w:p>
      <w:pPr>
        <w:pStyle w:val="ConsPlusNormal1"/>
        <w:widowControl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Иинф – индекс инфляции, рассчитываемый как среднее арифметическое значение между индексами прогнозной инфляции на даты начала и окончания работ. При расчете индекса прогнозной инфляции определение периода выполнения работ осуществляется исходя из продолжительности, установленной заказчиком в задании на выполнение проектных и изыскательских работ.</w:t>
      </w:r>
    </w:p>
    <w:p>
      <w:pPr>
        <w:pStyle w:val="ConsPlusNormal1"/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ConsPlusNormal1"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В случае, если срок выполнения работ превышает календарный год, то индекс инфляции определяется по формуле: </w:t>
      </w:r>
    </w:p>
    <w:p>
      <w:pPr>
        <w:pStyle w:val="ConsPlusNormal1"/>
        <w:widowControl/>
        <w:spacing w:before="40" w:after="40"/>
        <w:ind w:firstLine="426"/>
        <w:jc w:val="center"/>
        <w:rPr>
          <w:highlight w:val="none"/>
          <w:shd w:fill="auto" w:val="clear"/>
        </w:rPr>
      </w:pPr>
      <w:r>
        <w:rPr>
          <w:shd w:fill="auto" w:val="clear"/>
        </w:rPr>
      </w:r>
      <m:oMathPara xmlns:m="http://schemas.openxmlformats.org/officeDocument/2006/math">
        <m:oMathParaPr>
          <m:jc m:val="center"/>
        </m:oMathParaPr>
        <m:oMath>
          <m:r>
            <w:rPr>
              <w:rFonts w:ascii="Cambria Math" w:hAnsi="Cambria Math"/>
            </w:rPr>
            <m:t xml:space="preserve">И</m:t>
          </m:r>
          <m:r>
            <w:rPr>
              <w:rFonts w:ascii="Cambria Math" w:hAnsi="Cambria Math"/>
            </w:rPr>
            <m:t xml:space="preserve">инф</m:t>
          </m:r>
          <m:r>
            <w:rPr>
              <w:rFonts w:ascii="Cambria Math" w:hAnsi="Cambria Math"/>
            </w:rPr>
            <m:t xml:space="preserve">=</m:t>
          </m:r>
          <m:r>
            <w:rPr>
              <w:rFonts w:ascii="Cambria Math" w:hAnsi="Cambria Math"/>
            </w:rPr>
            <m:t xml:space="preserve">Д</m:t>
          </m:r>
          <m:r>
            <w:rPr>
              <w:rFonts w:ascii="Cambria Math" w:hAnsi="Cambria Math"/>
            </w:rPr>
            <m:t xml:space="preserve">1</m:t>
          </m:r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К</m:t>
          </m:r>
          <m:r>
            <w:rPr>
              <w:rFonts w:ascii="Cambria Math" w:hAnsi="Cambria Math"/>
            </w:rPr>
            <m:t xml:space="preserve">1</m:t>
          </m:r>
          <m:r>
            <w:rPr>
              <w:rFonts w:ascii="Cambria Math" w:hAnsi="Cambria Math"/>
            </w:rPr>
            <m:t xml:space="preserve">+</m:t>
          </m:r>
          <m:r>
            <w:rPr>
              <w:rFonts w:ascii="Cambria Math" w:hAnsi="Cambria Math"/>
            </w:rPr>
            <m:t xml:space="preserve">Д</m:t>
          </m:r>
          <m:r>
            <w:rPr>
              <w:rFonts w:ascii="Cambria Math" w:hAnsi="Cambria Math"/>
            </w:rPr>
            <m:t xml:space="preserve">2</m:t>
          </m:r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К</m:t>
          </m:r>
          <m:r>
            <w:rPr>
              <w:rFonts w:ascii="Cambria Math" w:hAnsi="Cambria Math"/>
            </w:rPr>
            <m:t xml:space="preserve">2</m:t>
          </m:r>
          <m:r>
            <w:rPr>
              <w:rFonts w:ascii="Cambria Math" w:hAnsi="Cambria Math"/>
            </w:rPr>
            <m:t xml:space="preserve">+</m:t>
          </m:r>
          <m:r>
            <w:rPr>
              <w:rFonts w:ascii="Cambria Math" w:hAnsi="Cambria Math"/>
            </w:rPr>
            <m:t xml:space="preserve">...</m:t>
          </m:r>
          <m:r>
            <w:rPr>
              <w:rFonts w:ascii="Cambria Math" w:hAnsi="Cambria Math"/>
            </w:rPr>
            <m:t xml:space="preserve">+</m:t>
          </m:r>
          <m:r>
            <w:rPr>
              <w:rFonts w:ascii="Cambria Math" w:hAnsi="Cambria Math"/>
            </w:rPr>
            <m:t xml:space="preserve">Д</m:t>
          </m:r>
          <m:r>
            <w:rPr>
              <w:rFonts w:ascii="Cambria Math" w:hAnsi="Cambria Math"/>
            </w:rPr>
            <m:t xml:space="preserve">i</m:t>
          </m:r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К</m:t>
          </m:r>
          <m:r>
            <w:rPr>
              <w:rFonts w:ascii="Cambria Math" w:hAnsi="Cambria Math"/>
            </w:rPr>
            <m:t xml:space="preserve">i</m:t>
          </m:r>
          <m:d>
            <m:dPr>
              <m:begChr m:val="("/>
              <m:endChr m:val=")"/>
            </m:dPr>
            <m:e>
              <m:r>
                <w:rPr>
                  <w:rFonts w:ascii="Cambria Math" w:hAnsi="Cambria Math"/>
                </w:rPr>
                <m:t xml:space="preserve">2</m:t>
              </m:r>
            </m:e>
          </m:d>
        </m:oMath>
      </m:oMathPara>
    </w:p>
    <w:p>
      <w:pPr>
        <w:pStyle w:val="ConsPlusNormal1"/>
        <w:widowControl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где</w:t>
      </w:r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highlight w:val="none"/>
          <w:shd w:fill="auto" w:val="clear"/>
        </w:rPr>
      </w:pPr>
      <w:r>
        <w:rPr>
          <w:color w:val="000000"/>
          <w:shd w:fill="auto" w:val="clear"/>
        </w:rPr>
        <w:t>Д1,Д2,Д</w:t>
      </w:r>
      <w:r>
        <w:rPr>
          <w:color w:val="000000"/>
          <w:shd w:fill="auto" w:val="clear"/>
          <w:lang w:val="en-US"/>
        </w:rPr>
        <w:t>i</w:t>
      </w:r>
      <w:r>
        <w:rPr>
          <w:color w:val="000000"/>
          <w:shd w:fill="auto" w:val="clear"/>
        </w:rPr>
        <w:t xml:space="preserve"> - доля сметной стоимости работ, подлежащих выполнению соответственно в 1-й, 2-й, 3-й, i-ый годы строительства;</w:t>
      </w:r>
      <w:bookmarkStart w:id="0" w:name="l170"/>
      <w:bookmarkEnd w:id="0"/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highlight w:val="none"/>
          <w:shd w:fill="auto" w:val="clear"/>
        </w:rPr>
      </w:pPr>
      <w:r>
        <w:rPr>
          <w:color w:val="000000"/>
          <w:shd w:fill="auto" w:val="clear"/>
        </w:rPr>
        <w:t>i - год завершения строительства объекта;</w:t>
      </w:r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highlight w:val="none"/>
          <w:shd w:fill="auto" w:val="clear"/>
        </w:rPr>
      </w:pPr>
      <w:r>
        <w:rPr>
          <w:color w:val="000000"/>
          <w:shd w:fill="auto" w:val="clear"/>
        </w:rPr>
        <w:t>К1 - индекс прогнозной инфляции за первый год строительства объекта,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объекта;</w:t>
      </w:r>
      <w:bookmarkStart w:id="1" w:name="l38"/>
      <w:bookmarkEnd w:id="1"/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highlight w:val="none"/>
          <w:shd w:fill="auto" w:val="clear"/>
        </w:rPr>
      </w:pPr>
      <w:r>
        <w:rPr>
          <w:color w:val="000000"/>
          <w:shd w:fill="auto" w:val="clear"/>
        </w:rPr>
        <w:t>К2 - индекс прогнозной инфляции, учитывающий инфляцию за первый и второй годы строительства объекта. Рассчитывается как произведение индекса прогнозной инфляции, устанавливаемого нарастающим итогом на декабрь первого года строительства объекта, и индекса прогнозной инфляции на второй год строительства объекта,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объекта;</w:t>
      </w:r>
      <w:bookmarkStart w:id="2" w:name="l171"/>
      <w:bookmarkStart w:id="3" w:name="l39"/>
      <w:bookmarkEnd w:id="2"/>
      <w:bookmarkEnd w:id="3"/>
    </w:p>
    <w:p>
      <w:pPr>
        <w:pStyle w:val="ConsPlusNormal1"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К3 - индекс прогнозной инфляции, учитывающий инфляцию за весь период строительства объекта. Указанный индекс рассчитывается как произведение индекса прогнозной инфляции, устанавливаемого нарастающим итогом на декабрь предшествующего года строительства объекта, и индекса прогнозной инфляции на последний год строительства объекта,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последнем году.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</w:p>
    <w:p>
      <w:pPr>
        <w:pStyle w:val="ConsPlusNormal1"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При этом:</w:t>
      </w:r>
    </w:p>
    <w:p>
      <w:pPr>
        <w:pStyle w:val="ConsPlusNormal1"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1) если срок выполнения работ указан в целом по договору (дата начала работ – дата окончание работ), применяется единый дефлятор, в соответствии с формулой (1)</w:t>
      </w:r>
    </w:p>
    <w:p>
      <w:pPr>
        <w:pStyle w:val="ConsPlusNormal1"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2) если договором предусмотрен график выполнения работ с разбивкой на этапы (дата начала работ по этапу – дата окончания работ по этапу), дефлятор применяется в соответствии с таким графиком, и рассчитывается на каждый этап, в соответствии с формулой (2).</w:t>
      </w:r>
    </w:p>
    <w:p>
      <w:pPr>
        <w:pStyle w:val="ConsPlusNormal1"/>
        <w:widowControl/>
        <w:spacing w:before="40" w:after="40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highlight w:val="none"/>
          <w:shd w:fill="auto" w:val="clear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shd w:fill="auto" w:val="clear"/>
        </w:rPr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Методики №620, либо по нормативному акту, пришедшему на смену данному документу.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ascii="Times New Roman" w:hAnsi="Times New Roman"/>
          <w:sz w:val="24"/>
          <w:szCs w:val="24"/>
          <w:shd w:fill="auto" w:val="clear"/>
        </w:rPr>
        <w:t xml:space="preserve">Стоимость работ, цены на которые отсутствуют в МНЗ и СБЦ, внесенных в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ФРСН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3">
        <w:r>
          <w:rPr>
            <w:rStyle w:val="Hyperlink"/>
            <w:rFonts w:ascii="Times New Roman" w:hAnsi="Times New Roman"/>
            <w:sz w:val="24"/>
            <w:szCs w:val="24"/>
            <w:shd w:fill="auto" w:val="clear"/>
          </w:rPr>
          <w:t>3п</w:t>
        </w:r>
      </w:hyperlink>
      <w:r>
        <w:rPr>
          <w:rFonts w:ascii="Times New Roman" w:hAnsi="Times New Roman"/>
          <w:sz w:val="24"/>
          <w:szCs w:val="24"/>
          <w:shd w:fill="auto" w:val="clear"/>
        </w:rPr>
        <w:t>) по согласованию с Заказчиком.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Сметы на ПИР предоставляются в форматах: «Excel» и «</w:t>
      </w:r>
      <w:r>
        <w:rPr>
          <w:rFonts w:cs="Times New Roman" w:ascii="Times New Roman" w:hAnsi="Times New Roman"/>
          <w:sz w:val="24"/>
          <w:szCs w:val="24"/>
          <w:shd w:fill="auto" w:val="clear"/>
          <w:lang w:val="en-US"/>
        </w:rPr>
        <w:t>pdf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» (с подписями и печатью). Сметная документация в формате «Exce</w:t>
      </w:r>
      <w:r>
        <w:rPr>
          <w:rFonts w:cs="Times New Roman" w:ascii="Times New Roman" w:hAnsi="Times New Roman"/>
          <w:sz w:val="24"/>
          <w:szCs w:val="24"/>
          <w:shd w:fill="auto" w:val="clear"/>
          <w:lang w:val="en-US"/>
        </w:rPr>
        <w:t>l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Результаты вычислений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(построчные) 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и итоговые данные в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ЛСР (ЛС), приводятся в рублях,</w:t>
      </w:r>
    </w:p>
    <w:p>
      <w:pPr>
        <w:pStyle w:val="ConsPlusNormal1"/>
        <w:numPr>
          <w:ilvl w:val="0"/>
          <w:numId w:val="7"/>
        </w:numPr>
        <w:tabs>
          <w:tab w:val="clear" w:pos="709"/>
          <w:tab w:val="left" w:pos="567" w:leader="none"/>
          <w:tab w:val="left" w:pos="1134" w:leader="none"/>
        </w:tabs>
        <w:ind w:left="0"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при базисно-индексном методе, с округлением до двух знаков после запятой (до копеек);</w:t>
      </w:r>
    </w:p>
    <w:p>
      <w:pPr>
        <w:pStyle w:val="ConsPlusNormal1"/>
        <w:numPr>
          <w:ilvl w:val="0"/>
          <w:numId w:val="7"/>
        </w:numPr>
        <w:tabs>
          <w:tab w:val="clear" w:pos="709"/>
          <w:tab w:val="left" w:pos="567" w:leader="none"/>
          <w:tab w:val="left" w:pos="1134" w:leader="none"/>
        </w:tabs>
        <w:ind w:left="0"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при ресурсно-индексном и ресурсным методах, а также сметных расчетах на отдельные виды затрат - с округлением до целых единиц;</w:t>
      </w:r>
    </w:p>
    <w:p>
      <w:pPr>
        <w:pStyle w:val="ConsPlusNormal1"/>
        <w:numPr>
          <w:ilvl w:val="0"/>
          <w:numId w:val="7"/>
        </w:numPr>
        <w:tabs>
          <w:tab w:val="clear" w:pos="709"/>
          <w:tab w:val="left" w:pos="567" w:leader="none"/>
          <w:tab w:val="left" w:pos="1134" w:leader="none"/>
        </w:tabs>
        <w:ind w:left="0"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в сводной смете - в рублях с округлением до целых единиц. 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>
          <w:highlight w:val="none"/>
          <w:shd w:fill="auto" w:val="clear"/>
        </w:rPr>
      </w:pPr>
      <w:r>
        <w:rPr>
          <w:rFonts w:eastAsia="Geneva" w:cs="" w:ascii="Times New Roman" w:hAnsi="Times New Roman" w:cstheme="minorBidi"/>
          <w:sz w:val="24"/>
          <w:szCs w:val="24"/>
          <w:shd w:fill="auto" w:val="clear"/>
          <w:lang w:eastAsia="en-US"/>
        </w:rPr>
        <w:t xml:space="preserve">Командировочные расходы, учтенные в смете, подтверждаются отдельным расчетом. Лимиты командировочных расходов при производстве ПИР </w:t>
      </w:r>
      <w:r>
        <w:rPr>
          <w:rFonts w:cs="Times New Roman" w:ascii="Times New Roman" w:hAnsi="Times New Roman"/>
          <w:color w:val="000000"/>
          <w:sz w:val="24"/>
          <w:szCs w:val="24"/>
          <w:u w:val="single"/>
          <w:shd w:fill="auto" w:val="clear"/>
        </w:rPr>
        <w:t>не более</w:t>
      </w:r>
      <w:r>
        <w:rPr>
          <w:rFonts w:eastAsia="Geneva" w:cs="" w:ascii="Times New Roman" w:hAnsi="Times New Roman" w:cstheme="minorBidi"/>
          <w:sz w:val="24"/>
          <w:szCs w:val="24"/>
          <w:shd w:fill="auto" w:val="clear"/>
          <w:lang w:eastAsia="en-US"/>
        </w:rPr>
        <w:t>:</w:t>
      </w:r>
    </w:p>
    <w:p>
      <w:pPr>
        <w:pStyle w:val="ListParagraph"/>
        <w:tabs>
          <w:tab w:val="clear" w:pos="709"/>
          <w:tab w:val="left" w:pos="851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eastAsia="Geneva" w:ascii="Times New Roman" w:hAnsi="Times New Roman"/>
          <w:sz w:val="24"/>
          <w:szCs w:val="24"/>
          <w:shd w:fill="auto" w:val="clear"/>
        </w:rPr>
        <w:t>суточные - 700 руб./сутки;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>
      <w:pPr>
        <w:sectPr>
          <w:footerReference w:type="default" r:id="rId4"/>
          <w:footerReference w:type="first" r:id="rId5"/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0"/>
        </w:sectPr>
        <w:pStyle w:val="ConsPlusNormal1"/>
        <w:numPr>
          <w:ilvl w:val="0"/>
          <w:numId w:val="6"/>
        </w:numPr>
        <w:tabs>
          <w:tab w:val="clear" w:pos="709"/>
          <w:tab w:val="left" w:pos="1134" w:leader="none"/>
        </w:tabs>
        <w:ind w:left="0" w:firstLine="567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/>
          <w:color w:val="000000"/>
          <w:sz w:val="24"/>
          <w:szCs w:val="24"/>
          <w:shd w:fill="auto" w:val="clear"/>
        </w:rPr>
        <w:t>главу 1 ССРСС.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 Стоимость данных работ не включается в расчет стоимости проведения государственной экспертизы.</w:t>
      </w:r>
    </w:p>
    <w:p>
      <w:pPr>
        <w:pStyle w:val="Normal"/>
        <w:spacing w:lineRule="auto" w:line="240" w:before="0" w:after="0"/>
        <w:ind w:left="5811" w:hanging="0"/>
        <w:rPr>
          <w:highlight w:val="none"/>
          <w:shd w:fill="auto" w:val="clear"/>
        </w:rPr>
      </w:pPr>
      <w:r>
        <w:rPr>
          <w:rFonts w:ascii="Times New Roman" w:hAnsi="Times New Roman"/>
          <w:sz w:val="20"/>
          <w:shd w:fill="auto" w:val="clear"/>
        </w:rPr>
        <w:t>Приложение № 1</w:t>
      </w:r>
    </w:p>
    <w:p>
      <w:pPr>
        <w:pStyle w:val="Normal"/>
        <w:spacing w:lineRule="auto" w:line="240" w:before="0" w:after="0"/>
        <w:ind w:left="5811" w:hanging="0"/>
        <w:rPr>
          <w:highlight w:val="none"/>
          <w:shd w:fill="auto" w:val="clear"/>
        </w:rPr>
      </w:pPr>
      <w:r>
        <w:rPr>
          <w:rFonts w:ascii="Times New Roman" w:hAnsi="Times New Roman"/>
          <w:sz w:val="20"/>
          <w:shd w:fill="auto" w:val="clear"/>
        </w:rPr>
        <w:t>к Требованиям к оформлению и составлению сметной документации на выполнение проектных и изыскательских работ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  <w:highlight w:val="none"/>
          <w:shd w:fill="auto" w:val="clear"/>
        </w:rPr>
      </w:pPr>
      <w:r>
        <w:rPr>
          <w:rFonts w:ascii="Times New Roman" w:hAnsi="Times New Roman"/>
          <w:sz w:val="20"/>
          <w:shd w:fill="auto" w:val="clear"/>
        </w:rPr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sz w:val="20"/>
          <w:highlight w:val="none"/>
          <w:shd w:fill="auto" w:val="clear"/>
        </w:rPr>
      </w:pPr>
      <w:r>
        <w:rPr>
          <w:rFonts w:ascii="Times New Roman" w:hAnsi="Times New Roman"/>
          <w:sz w:val="20"/>
          <w:shd w:fill="auto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  <w:highlight w:val="none"/>
          <w:shd w:fill="auto" w:val="clear"/>
        </w:rPr>
      </w:pPr>
      <w:r>
        <w:rPr>
          <w:rFonts w:ascii="Times New Roman" w:hAnsi="Times New Roman"/>
          <w:sz w:val="20"/>
          <w:shd w:fill="auto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  <w:highlight w:val="none"/>
          <w:shd w:fill="auto" w:val="clear"/>
        </w:rPr>
      </w:pPr>
      <w:r>
        <w:rPr>
          <w:rFonts w:ascii="Times New Roman" w:hAnsi="Times New Roman"/>
          <w:sz w:val="20"/>
          <w:shd w:fill="auto" w:val="clear"/>
        </w:rPr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b/>
          <w:color w:val="000000"/>
          <w:sz w:val="24"/>
          <w:szCs w:val="24"/>
          <w:shd w:fill="auto" w:val="clear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b/>
          <w:color w:val="000000"/>
          <w:sz w:val="24"/>
          <w:szCs w:val="24"/>
          <w:shd w:fill="auto" w:val="clear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b/>
          <w:color w:val="000000"/>
          <w:sz w:val="24"/>
          <w:szCs w:val="24"/>
          <w:shd w:fill="auto" w:val="clear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shd w:fill="auto" w:val="clear"/>
        </w:rPr>
        <w:t>при составлении смет на ПИР.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b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b/>
          <w:sz w:val="24"/>
          <w:szCs w:val="24"/>
          <w:shd w:fill="auto" w:val="clear"/>
        </w:rPr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bookmarkStart w:id="4" w:name="RANGE!A1%253AD25"/>
      <w:bookmarkEnd w:id="4"/>
      <w:r>
        <w:rPr>
          <w:rFonts w:ascii="Times New Roman" w:hAnsi="Times New Roman"/>
          <w:color w:val="000000"/>
          <w:sz w:val="24"/>
          <w:szCs w:val="24"/>
          <w:shd w:fill="auto" w:val="clear"/>
        </w:rPr>
        <w:t>При составлении калькуляции затрат (форма №3п), разработанным организацией, выполняющей ПИР, Заказчику предоставляется обоснование расчета. Сметные расчеты составляются в ценах текущего периода.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Калькуляцией затрат (форма №3п) рекомендуется определять стоимость работ, цены на которые отсутствуют в МНЗ и СБЦ, внесенных в ФРСН.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Стоимость работ и расходов в соответствии с калькуляцией затрат определяется согласно положениям Методики №707 с учетом следующего:</w:t>
      </w:r>
    </w:p>
    <w:p>
      <w:pPr>
        <w:pStyle w:val="ConsPlusNormal1"/>
        <w:numPr>
          <w:ilvl w:val="1"/>
          <w:numId w:val="5"/>
        </w:numPr>
        <w:tabs>
          <w:tab w:val="clear" w:pos="709"/>
          <w:tab w:val="left" w:pos="1134" w:leader="none"/>
        </w:tabs>
        <w:ind w:left="0"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Стоимость проектных работ и расходов (</w:t>
      </w:r>
      <w:r>
        <w:rPr>
          <w:shd w:fill="auto" w:val="clear"/>
        </w:rPr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>) в соответствии с калькуляцией затрат определяется по формуле:</w:t>
      </w:r>
    </w:p>
    <w:p>
      <w:pPr>
        <w:pStyle w:val="ConsPlusNormal1"/>
        <w:tabs>
          <w:tab w:val="clear" w:pos="709"/>
          <w:tab w:val="left" w:pos="0" w:leader="none"/>
          <w:tab w:val="left" w:pos="1134" w:leader="none"/>
        </w:tabs>
        <w:ind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С</m:t>
              </m:r>
            </m:e>
            <m:sub>
              <m:r>
                <w:rPr>
                  <w:rFonts w:ascii="Cambria Math" w:hAnsi="Cambria Math"/>
                </w:rPr>
                <m:t xml:space="preserve">пр</m:t>
              </m:r>
            </m:sub>
          </m:sSub>
          <m:r>
            <w:rPr>
              <w:rFonts w:ascii="Cambria Math" w:hAnsi="Cambria Math"/>
            </w:rPr>
            <m:t xml:space="preserve">=</m:t>
          </m:r>
          <m:sSub>
            <m:e>
              <m:r>
                <w:rPr>
                  <w:rFonts w:ascii="Cambria Math" w:hAnsi="Cambria Math"/>
                </w:rPr>
                <m:t xml:space="preserve">В</m:t>
              </m:r>
            </m:e>
            <m:sub>
              <m:r>
                <w:rPr>
                  <w:rFonts w:ascii="Cambria Math" w:hAnsi="Cambria Math"/>
                </w:rPr>
                <m:t xml:space="preserve">ср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Т</m:t>
              </m:r>
            </m:e>
            <m:sub>
              <m:r>
                <w:rPr>
                  <w:rFonts w:ascii="Cambria Math" w:hAnsi="Cambria Math"/>
                </w:rPr>
                <m:t xml:space="preserve">п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Ч</m:t>
              </m:r>
            </m:e>
            <m:sub>
              <m:r>
                <w:rPr>
                  <w:rFonts w:ascii="Cambria Math" w:hAnsi="Cambria Math"/>
                </w:rPr>
                <m:t xml:space="preserve">общ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К</m:t>
              </m:r>
            </m:e>
            <m:sub>
              <m:r>
                <w:rPr>
                  <w:rFonts w:ascii="Cambria Math" w:hAnsi="Cambria Math"/>
                </w:rPr>
                <m:t xml:space="preserve">кв</m:t>
              </m:r>
              <m:r>
                <w:rPr>
                  <w:rFonts w:ascii="Cambria Math" w:hAnsi="Cambria Math"/>
                </w:rPr>
                <m:t xml:space="preserve">−</m:t>
              </m:r>
              <m:r>
                <w:rPr>
                  <w:rFonts w:ascii="Cambria Math" w:hAnsi="Cambria Math"/>
                </w:rPr>
                <m:t xml:space="preserve">уч</m:t>
              </m:r>
            </m:sub>
          </m:sSub>
        </m:oMath>
      </m:oMathPara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где: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highlight w:val="none"/>
          <w:shd w:fill="auto" w:val="clear"/>
        </w:rPr>
      </w:pPr>
      <w:r>
        <w:rPr>
          <w:shd w:fill="auto" w:val="clear"/>
        </w:rPr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cs="Times New Roman" w:ascii="Times New Roman" w:hAnsi="Times New Roman"/>
          <w:sz w:val="24"/>
          <w:szCs w:val="24"/>
          <w:shd w:fill="auto" w:val="clear"/>
          <w:vertAlign w:val="subscript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- стоимость проектных работ, определенная в соответствии с калькуляцией затрат, рублей;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highlight w:val="none"/>
          <w:shd w:fill="auto" w:val="clear"/>
        </w:rPr>
      </w:pPr>
      <w:r>
        <w:rPr>
          <w:shd w:fill="auto" w:val="clear"/>
        </w:rPr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Вср</m:t>
        </m:r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- среднедневная выработка одного непосредственного исполнителя, рублей;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highlight w:val="none"/>
          <w:shd w:fill="auto" w:val="clear"/>
        </w:rPr>
      </w:pPr>
      <w:r>
        <w:rPr>
          <w:shd w:fill="auto" w:val="clear"/>
        </w:rPr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Тп</m:t>
        </m:r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- плановая продолжительность выполнения проектных работ, предусмотренных калькуляцией затрат, дни;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highlight w:val="none"/>
          <w:shd w:fill="auto" w:val="clear"/>
        </w:rPr>
      </w:pPr>
      <w:r>
        <w:rPr>
          <w:shd w:fill="auto" w:val="clear"/>
        </w:rPr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Чобщ</m:t>
        </m:r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- общая численность непосредственных исполнителей-проектировщиков, занятых в выполнении проектных работ, предусмотренных калькуляцией затрат, чел.;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highlight w:val="none"/>
          <w:shd w:fill="auto" w:val="clear"/>
        </w:rPr>
      </w:pPr>
      <w:r>
        <w:rPr>
          <w:shd w:fill="auto" w:val="clear"/>
        </w:rPr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Ккв-уч</m:t>
        </m:r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- корректирующий коэффициент, учитывающий степень участия исполнителей различной квалификации в выполнении проектных работ, предусмотренных калькуляцией затрат (далее - коэффициент квалификации-участия);</w:t>
      </w:r>
    </w:p>
    <w:p>
      <w:pPr>
        <w:pStyle w:val="ConsPlusNormal1"/>
        <w:numPr>
          <w:ilvl w:val="1"/>
          <w:numId w:val="5"/>
        </w:numPr>
        <w:tabs>
          <w:tab w:val="clear" w:pos="709"/>
          <w:tab w:val="left" w:pos="1134" w:leader="none"/>
        </w:tabs>
        <w:ind w:left="0"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среднедневная выработка (</w:t>
      </w:r>
      <w:r>
        <w:rPr>
          <w:shd w:fill="auto" w:val="clear"/>
        </w:rPr>
      </w:r>
      <m:oMath xmlns:m="http://schemas.openxmlformats.org/officeDocument/2006/math">
        <m:r>
          <w:rPr>
            <w:rFonts w:ascii="Cambria Math" w:hAnsi="Cambria Math"/>
          </w:rPr>
          <m:t xml:space="preserve">В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>) определяется по формуле:</w:t>
      </w:r>
    </w:p>
    <w:p>
      <w:pPr>
        <w:pStyle w:val="ConsPlusNormal1"/>
        <w:tabs>
          <w:tab w:val="clear" w:pos="709"/>
          <w:tab w:val="left" w:pos="113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</w:r>
    </w:p>
    <w:p>
      <w:pPr>
        <w:pStyle w:val="ConsPlusNormal1"/>
        <w:tabs>
          <w:tab w:val="clear" w:pos="709"/>
          <w:tab w:val="left" w:pos="0" w:leader="none"/>
          <w:tab w:val="left" w:pos="1134" w:leader="none"/>
        </w:tabs>
        <w:ind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В</m:t>
              </m:r>
            </m:e>
            <m:sub>
              <m:r>
                <w:rPr>
                  <w:rFonts w:ascii="Cambria Math" w:hAnsi="Cambria Math"/>
                </w:rPr>
                <m:t xml:space="preserve">ср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ЗП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ср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d>
                <m:dPr>
                  <m:begChr m:val="("/>
                  <m:endChr m:val=")"/>
                </m:dPr>
                <m:e>
                  <m:r>
                    <w:rPr>
                      <w:rFonts w:ascii="Cambria Math" w:hAnsi="Cambria Math"/>
                    </w:rPr>
                    <m:t xml:space="preserve">1</m:t>
                  </m:r>
                  <m:r>
                    <w:rPr>
                      <w:rFonts w:ascii="Cambria Math" w:hAnsi="Cambria Math"/>
                    </w:rPr>
                    <m:t xml:space="preserve">+</m:t>
                  </m:r>
                  <m:r>
                    <w:rPr>
                      <w:rFonts w:ascii="Cambria Math" w:hAnsi="Cambria Math"/>
                    </w:rPr>
                    <m:t xml:space="preserve">Р</m:t>
                  </m:r>
                </m:e>
              </m:d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К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з</m:t>
                  </m:r>
                </m:sub>
              </m:sSub>
            </m:den>
          </m:f>
        </m:oMath>
      </m:oMathPara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где: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/>
      </w:pPr>
      <w:r>
        <w:rPr>
          <w:shd w:fill="auto" w:val="clear"/>
        </w:rPr>
      </w:r>
      <m:oMath xmlns:m="http://schemas.openxmlformats.org/officeDocument/2006/math">
        <m:r>
          <w:rPr>
            <w:rFonts w:ascii="Cambria Math" w:hAnsi="Cambria Math"/>
          </w:rPr>
          <m:t xml:space="preserve">Р</m:t>
        </m:r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- коэффициент уровня рентабельности (сметной прибыли), принимается Р = 0,1 (1%) согласно </w:t>
      </w:r>
      <w:hyperlink w:anchor="P1643">
        <w:r>
          <w:rPr>
            <w:rStyle w:val="Hyperlink"/>
            <w:rFonts w:cs="Times New Roman" w:ascii="Times New Roman" w:hAnsi="Times New Roman"/>
            <w:sz w:val="24"/>
            <w:szCs w:val="24"/>
            <w:shd w:fill="auto" w:val="clear"/>
          </w:rPr>
          <w:t>таблице 1.2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>, приведенной в приложении N 2 к Методике №707;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/>
      </w:pPr>
      <w:r>
        <w:rPr>
          <w:shd w:fill="auto" w:val="clear"/>
        </w:rPr>
      </w:r>
      <m:oMath xmlns:m="http://schemas.openxmlformats.org/officeDocument/2006/math">
        <m:r>
          <w:rPr>
            <w:rFonts w:ascii="Cambria Math" w:hAnsi="Cambria Math"/>
          </w:rPr>
          <m:t xml:space="preserve">ЗП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- среднедневная заработная плата, тыс. руб. Принимается по данным Росстата о среднемесячной номинальной начисленной заработной плате работающих в экономике, по видам экономической деятельности в Российской Федерации для деятельности в области архитектуры (</w:t>
      </w:r>
      <w:hyperlink r:id="rId6">
        <w:r>
          <w:rPr>
            <w:rStyle w:val="Hyperlink"/>
            <w:rFonts w:cs="Times New Roman" w:ascii="Times New Roman" w:hAnsi="Times New Roman"/>
            <w:sz w:val="24"/>
            <w:szCs w:val="24"/>
            <w:shd w:fill="auto" w:val="clear"/>
          </w:rPr>
          <w:t>код 71.11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согласно ОК 029-2014 (КДЕС ред. 2) "Общероссийский классификатор видов экономической деятельности" (далее - Общероссийский классификатор) за год, предшествующий году определения сметной стоимости объекта проектирования (среднее значение за период январь - декабрь), исходя из усредненного на основании производственного календаря количества рабочих дней в месяце для года, предшествующего году определения сметной стоимости проектных работ и с учетом Классификатора объектов административно-территориального деления (ОКАТО) Проектной организации. Для работ по проектированию объектов, являющихся особо опасными, технически сложными, уникальными объектами согласно </w:t>
      </w:r>
      <w:hyperlink r:id="rId7">
        <w:r>
          <w:rPr>
            <w:rStyle w:val="Hyperlink"/>
            <w:rFonts w:cs="Times New Roman" w:ascii="Times New Roman" w:hAnsi="Times New Roman"/>
            <w:sz w:val="24"/>
            <w:szCs w:val="24"/>
            <w:shd w:fill="auto" w:val="clear"/>
          </w:rPr>
          <w:t>статье 48.1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Градостроительного кодекса Российской Федерации, а также для работ по подготовке проектной документации, содержащей материалы в форме информационной модели, среднемесячная заработная плата принимается для деятельности в области инженерно-технического проектирования (</w:t>
      </w:r>
      <w:hyperlink r:id="rId8">
        <w:r>
          <w:rPr>
            <w:rStyle w:val="Hyperlink"/>
            <w:rFonts w:cs="Times New Roman" w:ascii="Times New Roman" w:hAnsi="Times New Roman"/>
            <w:sz w:val="24"/>
            <w:szCs w:val="24"/>
            <w:shd w:fill="auto" w:val="clear"/>
          </w:rPr>
          <w:t>код 71.12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согласно ОК 029-2014 (КДЕС ред. 2) Общероссийского классификатора)</w:t>
      </w:r>
      <w:r>
        <w:rPr>
          <w:rStyle w:val="FootnoteReference"/>
          <w:rFonts w:cs="Times New Roman" w:ascii="Times New Roman" w:hAnsi="Times New Roman"/>
          <w:sz w:val="24"/>
          <w:szCs w:val="24"/>
          <w:shd w:fill="auto" w:val="clear"/>
        </w:rPr>
        <w:footnoteReference w:id="2"/>
      </w:r>
      <w:r>
        <w:rPr>
          <w:rFonts w:cs="Times New Roman" w:ascii="Times New Roman" w:hAnsi="Times New Roman"/>
          <w:sz w:val="24"/>
          <w:szCs w:val="24"/>
          <w:shd w:fill="auto" w:val="clear"/>
        </w:rPr>
        <w:t>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highlight w:val="none"/>
          <w:shd w:fill="auto" w:val="clear"/>
        </w:rPr>
      </w:pPr>
      <w:r>
        <w:rPr>
          <w:shd w:fill="auto" w:val="clear"/>
        </w:rPr>
      </w:r>
      <m:oMath xmlns:m="http://schemas.openxmlformats.org/officeDocument/2006/math">
        <m:r>
          <w:rPr>
            <w:rFonts w:ascii="Cambria Math" w:hAnsi="Cambria Math"/>
          </w:rPr>
          <m:t xml:space="preserve">К</m:t>
        </m:r>
        <m:r>
          <w:rPr>
            <w:rFonts w:ascii="Cambria Math" w:hAnsi="Cambria Math"/>
          </w:rPr>
          <m:t xml:space="preserve">з</m:t>
        </m:r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- коэффициент, учитывающий долю оплаты труда производственного персонала в себестоимости проектных работ: К3 принимается в размере 40,06%;</w:t>
      </w:r>
    </w:p>
    <w:p>
      <w:pPr>
        <w:pStyle w:val="ConsPlusNormal1"/>
        <w:numPr>
          <w:ilvl w:val="1"/>
          <w:numId w:val="5"/>
        </w:numPr>
        <w:tabs>
          <w:tab w:val="clear" w:pos="709"/>
          <w:tab w:val="left" w:pos="1134" w:leader="none"/>
        </w:tabs>
        <w:ind w:left="0"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коэффициент, квалификации-участия (</w:t>
      </w:r>
      <w:r>
        <w:rPr>
          <w:shd w:fill="auto" w:val="clear"/>
        </w:rPr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К</m:t>
            </m:r>
          </m:e>
          <m:sub>
            <m:r>
              <w:rPr>
                <w:rFonts w:ascii="Cambria Math" w:hAnsi="Cambria Math"/>
              </w:rPr>
              <m:t xml:space="preserve">кв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уч</m:t>
            </m:r>
          </m:sub>
        </m:sSub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>), определяется по формуле:</w:t>
      </w:r>
    </w:p>
    <w:p>
      <w:pPr>
        <w:pStyle w:val="ConsPlusNormal1"/>
        <w:tabs>
          <w:tab w:val="clear" w:pos="709"/>
          <w:tab w:val="left" w:pos="113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</w:r>
    </w:p>
    <w:p>
      <w:pPr>
        <w:pStyle w:val="ConsPlusNormal1"/>
        <w:tabs>
          <w:tab w:val="clear" w:pos="709"/>
          <w:tab w:val="left" w:pos="1134" w:leader="none"/>
        </w:tabs>
        <w:ind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К</m:t>
              </m:r>
            </m:e>
            <m:sub>
              <m:r>
                <w:rPr>
                  <w:rFonts w:ascii="Cambria Math" w:hAnsi="Cambria Math"/>
                </w:rPr>
                <m:t xml:space="preserve">кв</m:t>
              </m:r>
              <m:r>
                <w:rPr>
                  <w:rFonts w:ascii="Cambria Math" w:hAnsi="Cambria Math"/>
                </w:rPr>
                <m:t xml:space="preserve">−</m:t>
              </m:r>
              <m:r>
                <w:rPr>
                  <w:rFonts w:ascii="Cambria Math" w:hAnsi="Cambria Math"/>
                </w:rPr>
                <m:t xml:space="preserve">уч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nary>
                <m:naryPr>
                  <m:chr m:val="∑"/>
                </m:naryPr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  <m:r>
                    <w:rPr>
                      <w:rFonts w:ascii="Cambria Math" w:hAnsi="Cambria Math"/>
                    </w:rPr>
                    <m:t xml:space="preserve">=</m:t>
                  </m:r>
                  <m:r>
                    <w:rPr>
                      <w:rFonts w:ascii="Cambria Math" w:hAnsi="Cambria Math"/>
                    </w:rPr>
                    <m:t xml:space="preserve">1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n</m:t>
                  </m:r>
                </m:sup>
                <m:e>
                  <m:f>
                    <m:num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ф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i</m:t>
                          </m:r>
                        </m:sub>
                      </m:sSub>
                    </m:num>
                    <m:den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Т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общ</m:t>
                          </m:r>
                        </m:sub>
                      </m:sSub>
                    </m:den>
                  </m:f>
                </m:e>
              </m:nary>
              <m:r>
                <w:rPr>
                  <w:rFonts w:ascii="Cambria Math" w:hAnsi="Cambria Math"/>
                </w:rPr>
                <m:t xml:space="preserve">×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Ч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И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Ч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общ</m:t>
                  </m:r>
                </m:sub>
              </m:sSub>
            </m:den>
          </m:f>
        </m:oMath>
      </m:oMathPara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где: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/>
      </w:pPr>
      <w:r>
        <w:rPr>
          <w:shd w:fill="auto" w:val="clear"/>
        </w:rPr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И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- индекс квалификации непосредственных исполнителей согласно </w:t>
      </w:r>
      <w:hyperlink w:anchor="P1654">
        <w:r>
          <w:rPr>
            <w:rStyle w:val="Hyperlink"/>
            <w:rFonts w:cs="Times New Roman" w:ascii="Times New Roman" w:hAnsi="Times New Roman"/>
            <w:sz w:val="24"/>
            <w:szCs w:val="24"/>
            <w:shd w:fill="auto" w:val="clear"/>
          </w:rPr>
          <w:t>таблицам 1.3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- </w:t>
      </w:r>
      <w:hyperlink w:anchor="P1701">
        <w:r>
          <w:rPr>
            <w:rStyle w:val="Hyperlink"/>
            <w:rFonts w:cs="Times New Roman" w:ascii="Times New Roman" w:hAnsi="Times New Roman"/>
            <w:sz w:val="24"/>
            <w:szCs w:val="24"/>
            <w:shd w:fill="auto" w:val="clear"/>
          </w:rPr>
          <w:t>1.4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, приведенным в приложении N 2 к Методике №707. Для отдельных отраслей индексы, приведенные в </w:t>
      </w:r>
      <w:hyperlink w:anchor="P1654">
        <w:r>
          <w:rPr>
            <w:rStyle w:val="Hyperlink"/>
            <w:rFonts w:cs="Times New Roman" w:ascii="Times New Roman" w:hAnsi="Times New Roman"/>
            <w:sz w:val="24"/>
            <w:szCs w:val="24"/>
            <w:shd w:fill="auto" w:val="clear"/>
          </w:rPr>
          <w:t>таблицах 1.3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- </w:t>
      </w:r>
      <w:hyperlink w:anchor="P1701">
        <w:r>
          <w:rPr>
            <w:rStyle w:val="Hyperlink"/>
            <w:rFonts w:cs="Times New Roman" w:ascii="Times New Roman" w:hAnsi="Times New Roman"/>
            <w:sz w:val="24"/>
            <w:szCs w:val="24"/>
            <w:shd w:fill="auto" w:val="clear"/>
          </w:rPr>
          <w:t>1.4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приложения N 2 к Методике №707, подлежат уточнению при предоставлении соответствующих обоснований (бухгалтерских справок и аналогичных документов), документально подтвержденных уполномоченными лицами проектной организации;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highlight w:val="none"/>
          <w:shd w:fill="auto" w:val="clear"/>
        </w:rPr>
      </w:pPr>
      <w:r>
        <w:rPr>
          <w:shd w:fill="auto" w:val="clear"/>
        </w:rPr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Ч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- численность исполнителей одинаковой квалификации, чел.;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highlight w:val="none"/>
          <w:shd w:fill="auto" w:val="clear"/>
        </w:rPr>
      </w:pPr>
      <w:r>
        <w:rPr>
          <w:shd w:fill="auto" w:val="clear"/>
        </w:rPr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T</m:t>
            </m:r>
          </m:e>
          <m:sub>
            <m:r>
              <w:rPr>
                <w:rFonts w:ascii="Cambria Math" w:hAnsi="Cambria Math"/>
              </w:rPr>
              <m:t xml:space="preserve">ф</m:t>
            </m:r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- фактическое время работы исполнителей одинаковой квалификации, дни.</w:t>
      </w:r>
    </w:p>
    <w:p>
      <w:pPr>
        <w:pStyle w:val="ConsPlusNormal1"/>
        <w:tabs>
          <w:tab w:val="clear" w:pos="709"/>
          <w:tab w:val="left" w:pos="1134" w:leader="none"/>
        </w:tabs>
        <w:jc w:val="both"/>
        <w:rPr/>
      </w:pP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Численность и должностные категории (квалификация) исполнителей, фактическое время работы исполнителей одинаковой квалификации определяются на основании положений документов по стандартизации согласно </w:t>
      </w:r>
      <w:hyperlink r:id="rId9">
        <w:r>
          <w:rPr>
            <w:rStyle w:val="Hyperlink"/>
            <w:rFonts w:cs="Times New Roman" w:ascii="Times New Roman" w:hAnsi="Times New Roman"/>
            <w:sz w:val="24"/>
            <w:szCs w:val="24"/>
            <w:shd w:fill="auto" w:val="clear"/>
          </w:rPr>
          <w:t>статье 14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Федерального закона от 29 июня 2015 г. N 162-ФЗ "О стандартизации в Российской Федерации" (Собрание законодательства Российской Федерации, 2015, N 27, ст. 3953; 2021, N 1, ст. 62), стандартов процесса подготовки проектной документации согласно </w:t>
      </w:r>
      <w:hyperlink r:id="rId10">
        <w:r>
          <w:rPr>
            <w:rStyle w:val="Hyperlink"/>
            <w:rFonts w:cs="Times New Roman" w:ascii="Times New Roman" w:hAnsi="Times New Roman"/>
            <w:sz w:val="24"/>
            <w:szCs w:val="24"/>
            <w:shd w:fill="auto" w:val="clear"/>
          </w:rPr>
          <w:t>пункту 10 части 8 статьи 55.20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Градостроительного кодекса Российской Федерации (Собрание законодательства Российской Федерации, 2005, N 1, ст. 16; 2018, N 32, ст. 5133), норм проектирования, данных о трудоемкости объектов-аналогов, результатов опроса, проведенного среди не менее трех проектных организаций, специализирующихся на выполнение проектных работ, на которые подготавливается смета, таблиц технологического процесса выполнения проектных работ по объекту, продолжительности выполняемых работ, указанных в календарном плане к договору на выполнение проектных работ, данных о времени и количестве исполнителей определенной квалификации, принимающих участие в выполнении проектных работ, которые должны быть подписаны руководителем проектной организации, предоставляющей такие данные, и заверены ее печатью;</w:t>
      </w:r>
    </w:p>
    <w:p>
      <w:pPr>
        <w:pStyle w:val="ConsPlusNormal1"/>
        <w:tabs>
          <w:tab w:val="clear" w:pos="709"/>
          <w:tab w:val="left" w:pos="1134" w:leader="none"/>
        </w:tabs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Для пересчета стоимости работ в текущий уровень цен применяются соответствующие индексы изменения сметной стоимости, выпущенные письмом Минстроя России, актуальным на момент составления сметной документации, с учетом периода выполнения работ.</w:t>
      </w:r>
    </w:p>
    <w:p>
      <w:pPr>
        <w:pStyle w:val="ConsPlusNormal1"/>
        <w:tabs>
          <w:tab w:val="clear" w:pos="709"/>
          <w:tab w:val="left" w:pos="1134" w:leader="none"/>
        </w:tabs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i/>
          <w:sz w:val="24"/>
          <w:szCs w:val="24"/>
          <w:shd w:fill="auto" w:val="clear"/>
        </w:rPr>
        <w:t xml:space="preserve">Например, в 1 квартале 2025 года, стоимость проектных работ рассчитывается по калькуляции затрат в уровне цен по состоянию на 31.12.2024 и включается в смету на проектные работы с последующим применением соответствующих индексов изменения сметной стоимости на 1 квартал 2025 года к уровню цен по состоянию на 01.01.2025, сообщаемых письмом Минстроя России от 01.02.2025г. №5170-ИФ/09. </w:t>
      </w:r>
    </w:p>
    <w:p>
      <w:pPr>
        <w:pStyle w:val="ListParagraph"/>
        <w:numPr>
          <w:ilvl w:val="1"/>
          <w:numId w:val="10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Общий срок проектирования объекта в месяцах не должен превышать нормативные сроки установленные положениями Приказа Минстроя РФ от 15.05.2020г. № 264/пр «Об установлении срока, необходимого для выполнения инженерных изысканий, осуществления архитектурно-строительного проектирования и строительства зданий, сооружений, в целях расчета срока договора аренды земельного участка, находящегося в государственной или муниципальной собственности» которые устанавливают зависимость срока проектирования объекта в месяцах от его общей площади. 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Для объектов, сроки проектирования которых невозможно определить в соответствии с указанным Приказом, допустимо применение иных документов, не противоречащих действующему законодательству.</w:t>
      </w:r>
    </w:p>
    <w:p>
      <w:pPr>
        <w:pStyle w:val="ListParagraph"/>
        <w:numPr>
          <w:ilvl w:val="1"/>
          <w:numId w:val="10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стоимость проектных работ, определяемых в соответствии с калькуляцией затрат, не учитывает командировочные расходы, непосредственно связанные с проектированием объекта, определяемые дополнительно.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993" w:leader="none"/>
        </w:tabs>
        <w:spacing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Для обоснования командировочных расходов предоставляется отдельно выполненный расчет (форма 4п)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ConsPlusNormal1"/>
        <w:tabs>
          <w:tab w:val="clear" w:pos="709"/>
          <w:tab w:val="left" w:pos="284" w:leader="none"/>
          <w:tab w:val="left" w:pos="1134" w:leader="none"/>
        </w:tabs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Лимиты командировочных расходов при производстве ПИР не более: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суточные - 700 руб./сутки;</w:t>
      </w:r>
    </w:p>
    <w:p>
      <w:pPr>
        <w:sectPr>
          <w:footerReference w:type="default" r:id="rId11"/>
          <w:footerReference w:type="first" r:id="rId12"/>
          <w:footnotePr>
            <w:numFmt w:val="decimal"/>
            <w:numRestart w:val="eachSect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ListParagraph"/>
        <w:numPr>
          <w:ilvl w:val="0"/>
          <w:numId w:val="0"/>
        </w:numPr>
        <w:tabs>
          <w:tab w:val="clear" w:pos="709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left="0" w:hanging="0"/>
        <w:contextualSpacing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240" w:before="0" w:after="0"/>
        <w:ind w:left="5811" w:right="-2" w:hanging="0"/>
        <w:contextualSpacing/>
        <w:jc w:val="right"/>
        <w:rPr>
          <w:highlight w:val="none"/>
          <w:shd w:fill="auto" w:val="clear"/>
        </w:rPr>
      </w:pPr>
      <w:r>
        <w:rPr>
          <w:rFonts w:ascii="Times New Roman" w:hAnsi="Times New Roman"/>
          <w:sz w:val="20"/>
          <w:shd w:fill="auto" w:val="clear"/>
        </w:rPr>
        <w:t>Приложение № 2</w:t>
      </w:r>
    </w:p>
    <w:p>
      <w:pPr>
        <w:pStyle w:val="Normal"/>
        <w:spacing w:lineRule="auto" w:line="240" w:before="0" w:after="0"/>
        <w:ind w:left="5811" w:right="-2" w:hanging="0"/>
        <w:contextualSpacing/>
        <w:jc w:val="right"/>
        <w:rPr>
          <w:highlight w:val="none"/>
          <w:shd w:fill="auto" w:val="clear"/>
        </w:rPr>
      </w:pPr>
      <w:r>
        <w:rPr>
          <w:rFonts w:ascii="Times New Roman" w:hAnsi="Times New Roman"/>
          <w:sz w:val="20"/>
          <w:shd w:fill="auto" w:val="clear"/>
        </w:rPr>
        <w:t>к Требованиям к оформлению и составлению сметной документации на выполнение ПИР</w:t>
      </w:r>
    </w:p>
    <w:p>
      <w:pPr>
        <w:pStyle w:val="Normal"/>
        <w:shd w:val="clear" w:color="auto" w:fill="FFFFFF"/>
        <w:spacing w:lineRule="auto" w:line="240" w:before="0" w:after="0"/>
        <w:ind w:left="720" w:firstLine="284"/>
        <w:contextualSpacing/>
        <w:jc w:val="center"/>
        <w:rPr>
          <w:rFonts w:ascii="Times New Roman" w:hAnsi="Times New Roman"/>
          <w:b/>
          <w:bCs/>
          <w:iCs/>
          <w:spacing w:val="-4"/>
          <w:highlight w:val="none"/>
          <w:shd w:fill="auto" w:val="clear"/>
        </w:rPr>
      </w:pPr>
      <w:r>
        <w:rPr>
          <w:rFonts w:ascii="Times New Roman" w:hAnsi="Times New Roman"/>
          <w:b/>
          <w:bCs/>
          <w:iCs/>
          <w:spacing w:val="-4"/>
          <w:shd w:fill="auto" w:val="clear"/>
        </w:rPr>
      </w:r>
    </w:p>
    <w:tbl>
      <w:tblPr>
        <w:tblW w:w="935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356"/>
      </w:tblGrid>
      <w:tr>
        <w:trPr/>
        <w:tc>
          <w:tcPr>
            <w:tcW w:w="93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Образец сметы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на основные и дополнительные проектные работы,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а также сопутствующие работы (форма 2п)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СМЕТА №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на проектные работы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__________________________________________________________________________________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shd w:fill="auto" w:val="clear"/>
              </w:rPr>
              <w:t>(наименование объекта)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Заказчик ________________________________________________________________________________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shd w:fill="auto" w:val="clear"/>
              </w:rPr>
              <w:t>(наименование организации)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Проектная организация 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shd w:fill="auto" w:val="clear"/>
              </w:rPr>
              <w:t>(наименование организации)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Составлена в уровне цен на ___________ 20__ г.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</w:r>
          </w:p>
          <w:tbl>
            <w:tblPr>
              <w:tblW w:w="9521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noVBand="1" w:val="04a0" w:noHBand="0" w:lastColumn="0" w:firstColumn="1" w:lastRow="0" w:firstRow="1"/>
            </w:tblPr>
            <w:tblGrid>
              <w:gridCol w:w="454"/>
              <w:gridCol w:w="1813"/>
              <w:gridCol w:w="3425"/>
              <w:gridCol w:w="1984"/>
              <w:gridCol w:w="1845"/>
            </w:tblGrid>
            <w:tr>
              <w:trPr/>
              <w:tc>
                <w:tcPr>
                  <w:tcW w:w="4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  <w:t>N пп</w:t>
                  </w:r>
                </w:p>
              </w:tc>
              <w:tc>
                <w:tcPr>
                  <w:tcW w:w="1813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  <w:t>Наименование объекта проектирования или вида проектных работ</w:t>
                  </w:r>
                </w:p>
              </w:tc>
              <w:tc>
                <w:tcPr>
                  <w:tcW w:w="3425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  <w:t>Наименование, номера глав, таблиц, параграфов и пунктов МНЗ (СБЦ) на проектные работы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  <w:t>Расчет стоимости</w:t>
                  </w:r>
                </w:p>
              </w:tc>
              <w:tc>
                <w:tcPr>
                  <w:tcW w:w="1845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  <w:t>Сметная стоимость, руб.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  <w:t>1</w:t>
                  </w:r>
                </w:p>
              </w:tc>
              <w:tc>
                <w:tcPr>
                  <w:tcW w:w="181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highlight w:val="none"/>
                      <w:shd w:fill="auto" w:val="clear"/>
                    </w:rPr>
                  </w:pPr>
                  <w:bookmarkStart w:id="5" w:name="P3725"/>
                  <w:bookmarkEnd w:id="5"/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  <w:t>2</w:t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highlight w:val="none"/>
                      <w:shd w:fill="auto" w:val="clear"/>
                    </w:rPr>
                  </w:pPr>
                  <w:bookmarkStart w:id="6" w:name="P3726"/>
                  <w:bookmarkEnd w:id="6"/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  <w:t>3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highlight w:val="none"/>
                      <w:shd w:fill="auto" w:val="clear"/>
                    </w:rPr>
                  </w:pPr>
                  <w:bookmarkStart w:id="7" w:name="P3727"/>
                  <w:bookmarkEnd w:id="7"/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  <w:t>4</w:t>
                  </w:r>
                </w:p>
              </w:tc>
              <w:tc>
                <w:tcPr>
                  <w:tcW w:w="184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jc w:val="center"/>
                    <w:rPr>
                      <w:highlight w:val="none"/>
                      <w:shd w:fill="auto" w:val="clear"/>
                    </w:rPr>
                  </w:pPr>
                  <w:bookmarkStart w:id="8" w:name="P3728"/>
                  <w:bookmarkEnd w:id="8"/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  <w:t>5</w:t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</w:r>
                </w:p>
              </w:tc>
              <w:tc>
                <w:tcPr>
                  <w:tcW w:w="181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</w:r>
                </w:p>
              </w:tc>
              <w:tc>
                <w:tcPr>
                  <w:tcW w:w="184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0"/>
                      <w:szCs w:val="20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</w:r>
                </w:p>
              </w:tc>
              <w:tc>
                <w:tcPr>
                  <w:tcW w:w="181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</w:r>
                </w:p>
              </w:tc>
              <w:tc>
                <w:tcPr>
                  <w:tcW w:w="184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0"/>
                      <w:szCs w:val="20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</w:r>
                </w:p>
              </w:tc>
              <w:tc>
                <w:tcPr>
                  <w:tcW w:w="181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</w:r>
                </w:p>
              </w:tc>
              <w:tc>
                <w:tcPr>
                  <w:tcW w:w="184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0"/>
                      <w:szCs w:val="20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</w:r>
                </w:p>
              </w:tc>
              <w:tc>
                <w:tcPr>
                  <w:tcW w:w="5238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  <w:t>Итого без учета НДС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</w:r>
                </w:p>
              </w:tc>
              <w:tc>
                <w:tcPr>
                  <w:tcW w:w="184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0"/>
                      <w:szCs w:val="20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auto" w:val="clear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Calibri" w:eastAsiaTheme="minorHAnsi"/>
                <w:highlight w:val="none"/>
                <w:shd w:fill="auto" w:val="clear"/>
                <w:lang w:eastAsia="en-US"/>
              </w:rPr>
            </w:pPr>
            <w:r>
              <w:rPr>
                <w:rFonts w:eastAsia="Calibri" w:eastAsiaTheme="minorHAnsi" w:ascii="Times New Roman" w:hAnsi="Times New Roman"/>
                <w:shd w:fill="auto" w:val="clear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Руководитель проектной организации 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shd w:fill="auto" w:val="clear"/>
              </w:rPr>
              <w:t>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Главный инженер проекта 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shd w:fill="auto" w:val="clear"/>
              </w:rPr>
              <w:t>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Начальник ___________________ отдела 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 xml:space="preserve">                             </w:t>
            </w:r>
            <w:r>
              <w:rPr>
                <w:rFonts w:ascii="Times New Roman" w:hAnsi="Times New Roman"/>
                <w:i/>
                <w:iCs/>
                <w:shd w:fill="auto" w:val="clear"/>
              </w:rPr>
              <w:t>(наименование)                            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i/>
                <w:i/>
                <w:iCs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Заказчик 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bookmarkStart w:id="9" w:name="_Hlk149126469"/>
            <w:r>
              <w:rPr>
                <w:rFonts w:ascii="Times New Roman" w:hAnsi="Times New Roman"/>
                <w:i/>
                <w:iCs/>
                <w:shd w:fill="auto" w:val="clear"/>
              </w:rPr>
              <w:t>[должность, подпись (инициалы, фамилия)]</w:t>
            </w:r>
            <w:bookmarkEnd w:id="9"/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</w:r>
          </w:p>
        </w:tc>
      </w:tr>
    </w:tbl>
    <w:p>
      <w:pPr>
        <w:sectPr>
          <w:footerReference w:type="default" r:id="rId13"/>
          <w:footerReference w:type="first" r:id="rId14"/>
          <w:footnotePr>
            <w:numFmt w:val="decimal"/>
            <w:numRestart w:val="eachSect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auto" w:line="240" w:before="0" w:after="0"/>
        <w:ind w:left="5811" w:hanging="0"/>
        <w:contextualSpacing/>
        <w:rPr>
          <w:highlight w:val="none"/>
          <w:shd w:fill="auto" w:val="clear"/>
        </w:rPr>
      </w:pPr>
      <w:bookmarkStart w:id="10" w:name="P3816"/>
      <w:bookmarkStart w:id="11" w:name="P3831"/>
      <w:bookmarkStart w:id="12" w:name="P3832"/>
      <w:bookmarkStart w:id="13" w:name="P3833"/>
      <w:bookmarkStart w:id="14" w:name="P3834"/>
      <w:bookmarkStart w:id="15" w:name="P3835"/>
      <w:bookmarkStart w:id="16" w:name="P3836"/>
      <w:bookmarkStart w:id="17" w:name="P3837"/>
      <w:bookmarkStart w:id="18" w:name="P3838"/>
      <w:bookmarkStart w:id="19" w:name="P383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ascii="Times New Roman" w:hAnsi="Times New Roman"/>
          <w:sz w:val="20"/>
          <w:shd w:fill="auto" w:val="clear"/>
        </w:rPr>
        <w:t>Приложение № 3</w:t>
      </w:r>
    </w:p>
    <w:p>
      <w:pPr>
        <w:pStyle w:val="Normal"/>
        <w:spacing w:lineRule="auto" w:line="240" w:before="0" w:after="0"/>
        <w:ind w:left="5811" w:hanging="0"/>
        <w:rPr>
          <w:highlight w:val="none"/>
          <w:shd w:fill="auto" w:val="clear"/>
        </w:rPr>
      </w:pPr>
      <w:r>
        <w:rPr>
          <w:rFonts w:ascii="Times New Roman" w:hAnsi="Times New Roman"/>
          <w:sz w:val="20"/>
          <w:shd w:fill="auto" w:val="clear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229"/>
        <w:gridCol w:w="238"/>
        <w:gridCol w:w="2186"/>
        <w:gridCol w:w="1095"/>
        <w:gridCol w:w="306"/>
        <w:gridCol w:w="215"/>
        <w:gridCol w:w="1583"/>
      </w:tblGrid>
      <w:tr>
        <w:trPr>
          <w:trHeight w:val="2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 xml:space="preserve">                                                         </w:t>
            </w:r>
            <w:r>
              <w:rPr>
                <w:rFonts w:ascii="Times New Roman" w:hAnsi="Times New Roman"/>
                <w:shd w:fill="auto" w:val="clear"/>
              </w:rPr>
              <w:t xml:space="preserve">к Договору    от___ ______202___  №_________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 xml:space="preserve">         </w:t>
            </w:r>
          </w:p>
        </w:tc>
        <w:tc>
          <w:tcPr>
            <w:tcW w:w="218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9"/>
                <w:tab w:val="left" w:pos="627" w:leader="none"/>
              </w:tabs>
              <w:spacing w:lineRule="auto" w:line="240" w:before="0" w:after="0"/>
              <w:ind w:left="-526" w:hanging="1332"/>
              <w:jc w:val="right"/>
              <w:rPr>
                <w:rFonts w:ascii="Times New Roman" w:hAnsi="Times New Roman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</w:r>
          </w:p>
        </w:tc>
        <w:tc>
          <w:tcPr>
            <w:tcW w:w="21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</w:r>
          </w:p>
        </w:tc>
        <w:tc>
          <w:tcPr>
            <w:tcW w:w="328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</w:r>
          </w:p>
        </w:tc>
        <w:tc>
          <w:tcPr>
            <w:tcW w:w="52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11653" w:type="dxa"/>
            <w:gridSpan w:val="3"/>
            <w:tcBorders/>
          </w:tcPr>
          <w:tbl>
            <w:tblPr>
              <w:tblW w:w="9575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noVBand="0" w:val="0000" w:noHBand="0" w:lastColumn="0" w:firstColumn="0" w:lastRow="0" w:firstRow="0"/>
            </w:tblPr>
            <w:tblGrid>
              <w:gridCol w:w="976"/>
              <w:gridCol w:w="2696"/>
              <w:gridCol w:w="1782"/>
              <w:gridCol w:w="2045"/>
              <w:gridCol w:w="2076"/>
            </w:tblGrid>
            <w:tr>
              <w:trPr/>
              <w:tc>
                <w:tcPr>
                  <w:tcW w:w="9575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СВОДНАЯ СМЕТА №</w:t>
                  </w:r>
                </w:p>
                <w:p>
                  <w:pPr>
                    <w:pStyle w:val="ConsPlusNormal1"/>
                    <w:widowControl w:val="false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на проектные работы и инженерные изыскания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hd w:fill="auto" w:val="clear"/>
                    </w:rPr>
                    <w:t>_________________________________________________________________________________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hd w:fill="auto" w:val="clear"/>
                    </w:rPr>
                    <w:t>(наименование объекта)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hd w:fill="auto" w:val="clear"/>
                    </w:rPr>
                    <w:t>Заказчик ___________________________________________________________________________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hd w:fill="auto" w:val="clear"/>
                    </w:rPr>
                    <w:t>(наименование организации)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hd w:fill="auto" w:val="clear"/>
                    </w:rPr>
                    <w:t>Проектная организация 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hd w:fill="auto" w:val="clear"/>
                    </w:rPr>
                    <w:t>(наименование организации)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hd w:fill="auto" w:val="clear"/>
                    </w:rPr>
                    <w:t>Составлена в уровне цен на ___________ 20__ г.</w:t>
                  </w:r>
                </w:p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</w:tr>
            <w:tr>
              <w:trPr>
                <w:trHeight w:val="365" w:hRule="atLeast"/>
              </w:trPr>
              <w:tc>
                <w:tcPr>
                  <w:tcW w:w="9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N№ п/п</w:t>
                  </w:r>
                </w:p>
              </w:tc>
              <w:tc>
                <w:tcPr>
                  <w:tcW w:w="269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Обоснование</w:t>
                  </w:r>
                </w:p>
              </w:tc>
              <w:tc>
                <w:tcPr>
                  <w:tcW w:w="412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976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rFonts w:ascii="Times New Roman" w:hAnsi="Times New Roman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hd w:fill="auto" w:val="clear"/>
                    </w:rPr>
                  </w:r>
                </w:p>
              </w:tc>
              <w:tc>
                <w:tcPr>
                  <w:tcW w:w="2696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rPr>
                      <w:rFonts w:ascii="Times New Roman" w:hAnsi="Times New Roman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hd w:fill="auto" w:val="clear"/>
                    </w:rPr>
                  </w:r>
                </w:p>
              </w:tc>
              <w:tc>
                <w:tcPr>
                  <w:tcW w:w="1782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rPr>
                      <w:rFonts w:ascii="Times New Roman" w:hAnsi="Times New Roman"/>
                      <w:highlight w:val="none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hd w:fill="auto" w:val="clear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инженерных изысканий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проектных работ</w:t>
                  </w:r>
                </w:p>
              </w:tc>
            </w:tr>
            <w:tr>
              <w:trPr>
                <w:trHeight w:val="19" w:hRule="atLeast"/>
              </w:trPr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1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2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firstLine="2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3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4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5</w:t>
                  </w:r>
                </w:p>
              </w:tc>
            </w:tr>
            <w:tr>
              <w:trPr>
                <w:trHeight w:val="274" w:hRule="atLeast"/>
              </w:trPr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I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Инженерные изыскания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</w:tr>
            <w:tr>
              <w:trPr>
                <w:trHeight w:val="493" w:hRule="atLeast"/>
              </w:trPr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&lt;X&gt;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II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Проектная документация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</w:tr>
            <w:tr>
              <w:trPr/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III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Рабочая документация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</w:tr>
            <w:tr>
              <w:trPr/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Итого по видам работ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&lt;X&gt;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ВСЕГО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</w:r>
                </w:p>
              </w:tc>
              <w:tc>
                <w:tcPr>
                  <w:tcW w:w="412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shd w:fill="auto" w:val="clear"/>
                    </w:rPr>
                    <w:t>&lt;X&gt;</w:t>
                  </w:r>
                </w:p>
              </w:tc>
            </w:tr>
          </w:tbl>
          <w:p>
            <w:pPr>
              <w:pStyle w:val="ConsPlusNormal1"/>
              <w:widowControl w:val="false"/>
              <w:ind w:right="-5522" w:firstLine="720"/>
              <w:rPr>
                <w:rFonts w:ascii="Times New Roman" w:hAnsi="Times New Roman" w:cs="Times New Roman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shd w:fill="auto" w:val="clear"/>
              </w:rPr>
            </w:r>
          </w:p>
        </w:tc>
        <w:tc>
          <w:tcPr>
            <w:tcW w:w="3199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shd w:fill="auto" w:val="clear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Руководитель проектной организации _____________________________________________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i/>
          <w:iCs/>
          <w:shd w:fill="auto" w:val="clear"/>
        </w:rPr>
        <w:t>[подпись (инициалы, фамилия)]</w:t>
      </w:r>
    </w:p>
    <w:p>
      <w:pPr>
        <w:pStyle w:val="Normal"/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Главный инженер проекта 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i/>
          <w:iCs/>
          <w:shd w:fill="auto" w:val="clear"/>
        </w:rPr>
        <w:t>[подпись (инициалы, фамилия)]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  <w:highlight w:val="none"/>
          <w:shd w:fill="auto" w:val="clear"/>
        </w:rPr>
      </w:pPr>
      <w:r>
        <w:rPr>
          <w:rFonts w:ascii="Times New Roman" w:hAnsi="Times New Roman"/>
          <w:i/>
          <w:iCs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Начальник ___________________ отдела __________________________________________</w:t>
      </w:r>
    </w:p>
    <w:p>
      <w:pPr>
        <w:pStyle w:val="Normal"/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 xml:space="preserve">                             </w:t>
      </w:r>
      <w:r>
        <w:rPr>
          <w:rFonts w:ascii="Times New Roman" w:hAnsi="Times New Roman"/>
          <w:i/>
          <w:iCs/>
          <w:shd w:fill="auto" w:val="clear"/>
        </w:rPr>
        <w:t>(наименование)                            [подпись (инициалы, фамилия)]</w:t>
      </w:r>
    </w:p>
    <w:p>
      <w:pPr>
        <w:pStyle w:val="Normal"/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Заказчик 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i/>
          <w:iCs/>
          <w:shd w:fill="auto" w:val="clear"/>
        </w:rPr>
        <w:t>[должность, подпись (инициалы, фамилия)]</w:t>
      </w:r>
    </w:p>
    <w:p>
      <w:pPr>
        <w:pStyle w:val="Normal"/>
        <w:spacing w:lineRule="auto" w:line="240" w:before="0" w:after="0"/>
        <w:rPr>
          <w:rFonts w:ascii="Times New Roman" w:hAnsi="Times New Roman"/>
          <w:i/>
          <w:i/>
          <w:iCs/>
          <w:highlight w:val="none"/>
          <w:shd w:fill="auto" w:val="clear"/>
        </w:rPr>
      </w:pPr>
      <w:r>
        <w:rPr>
          <w:rFonts w:ascii="Times New Roman" w:hAnsi="Times New Roman"/>
          <w:i/>
          <w:iCs/>
          <w:shd w:fill="auto" w:val="clear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 xml:space="preserve"> </w:t>
      </w:r>
      <w:r>
        <w:rPr>
          <w:rFonts w:ascii="Times New Roman" w:hAnsi="Times New Roman"/>
          <w:shd w:fill="auto" w:val="clear"/>
        </w:rPr>
        <w:t>по заполнению формы 3П</w:t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Образец сметы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на проектные работы в соответствии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с калькуляцией затрат (форма 3п)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СМЕТА №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на проектные работы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</w:r>
    </w:p>
    <w:p>
      <w:pPr>
        <w:pStyle w:val="Normal"/>
        <w:spacing w:lineRule="auto" w:line="240" w:before="0" w:after="0"/>
        <w:ind w:right="1246" w:firstLine="1134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i/>
          <w:iCs/>
          <w:shd w:fill="auto" w:val="clear"/>
        </w:rPr>
        <w:t>(наименование объекта)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</w:r>
    </w:p>
    <w:p>
      <w:pPr>
        <w:pStyle w:val="Normal"/>
        <w:spacing w:lineRule="auto" w:line="240" w:before="0" w:after="0"/>
        <w:ind w:right="142" w:hanging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Заказчик 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i/>
          <w:iCs/>
          <w:shd w:fill="auto" w:val="clear"/>
        </w:rPr>
        <w:t>(наименование организации)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</w:r>
    </w:p>
    <w:p>
      <w:pPr>
        <w:pStyle w:val="Normal"/>
        <w:spacing w:lineRule="auto" w:line="240" w:before="0" w:after="0"/>
        <w:ind w:right="1246" w:hanging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Проектная организация ___________________________________________________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i/>
          <w:iCs/>
          <w:shd w:fill="auto" w:val="clear"/>
        </w:rPr>
        <w:t>(наименование организации)</w:t>
      </w:r>
    </w:p>
    <w:p>
      <w:pPr>
        <w:pStyle w:val="Normal"/>
        <w:spacing w:lineRule="auto" w:line="240" w:before="0" w:after="0"/>
        <w:ind w:right="1246" w:hanging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Составлена в уровне цен на ___________ 20__ г.</w:t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  <w:highlight w:val="none"/>
          <w:shd w:fill="auto" w:val="clear"/>
        </w:rPr>
      </w:pPr>
      <w:r>
        <w:rPr>
          <w:rFonts w:cs="Times New Roman" w:ascii="Times New Roman" w:hAnsi="Times New Roman"/>
          <w:sz w:val="22"/>
          <w:szCs w:val="22"/>
          <w:shd w:fill="auto" w:val="clear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  <w:highlight w:val="none"/>
          <w:shd w:fill="auto" w:val="clear"/>
        </w:rPr>
      </w:pPr>
      <w:r>
        <w:rPr>
          <w:rFonts w:cs="Times New Roman" w:ascii="Times New Roman" w:hAnsi="Times New Roman"/>
          <w:sz w:val="22"/>
          <w:szCs w:val="22"/>
          <w:shd w:fill="auto" w:val="clear"/>
        </w:rPr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Расчет коэффициента, учитывающего степень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участия исполнителей-проектировщиков различной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квалификации в выполнении проектных работ (Ккв-уч)</w:t>
      </w:r>
    </w:p>
    <w:tbl>
      <w:tblPr>
        <w:tblW w:w="1005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1" w:val="04a0" w:noHBand="0" w:lastColumn="0" w:firstColumn="1" w:lastRow="0" w:firstRow="1"/>
      </w:tblPr>
      <w:tblGrid>
        <w:gridCol w:w="557"/>
        <w:gridCol w:w="1416"/>
        <w:gridCol w:w="1561"/>
        <w:gridCol w:w="1985"/>
        <w:gridCol w:w="1559"/>
        <w:gridCol w:w="1418"/>
        <w:gridCol w:w="1558"/>
      </w:tblGrid>
      <w:tr>
        <w:trPr/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N п/п</w:t>
            </w:r>
          </w:p>
        </w:tc>
        <w:tc>
          <w:tcPr>
            <w:tcW w:w="14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Наименование должностей исполнителей</w:t>
            </w:r>
          </w:p>
        </w:tc>
        <w:tc>
          <w:tcPr>
            <w:tcW w:w="15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7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Фактическое время участия исполнителя в работе, Тф (дни)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5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Плановая продолжительность выполнения проектных работ, предусмотренных калькуляцией, Тп (дни)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56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Численность исполнителей одной квалификации Чi (чел)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Индекс уровня квалификации специалистов исполнителей работы И</w:t>
            </w:r>
            <w:r>
              <w:rPr>
                <w:rFonts w:cs="Times New Roman" w:ascii="Times New Roman" w:hAnsi="Times New Roman"/>
                <w:shd w:fill="auto" w:val="clear"/>
                <w:lang w:val="en-US"/>
              </w:rPr>
              <w:t>i</w:t>
            </w:r>
          </w:p>
        </w:tc>
        <w:tc>
          <w:tcPr>
            <w:tcW w:w="1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Коэффициент квалификации (участия) специалистов одной квалификации,</w:t>
            </w:r>
          </w:p>
          <w:p>
            <w:pPr>
              <w:pStyle w:val="ConsPlusNormal1"/>
              <w:widowControl w:val="false"/>
              <w:ind w:firstLine="6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∑</w:t>
            </w:r>
            <w:r>
              <w:rPr>
                <w:rFonts w:cs="Times New Roman" w:ascii="Times New Roman" w:hAnsi="Times New Roman"/>
                <w:shd w:fill="auto" w:val="clear"/>
              </w:rPr>
              <w:t>(гр.3/итог гр.4 х гр.5 х гр.6) / ∑гр.5</w:t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81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</w:t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</w:t>
            </w:r>
          </w:p>
        </w:tc>
        <w:tc>
          <w:tcPr>
            <w:tcW w:w="156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3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4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5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6</w:t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</w:t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56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/>
            </w:pPr>
            <w:hyperlink w:anchor="P3816">
              <w:r>
                <w:rPr>
                  <w:rStyle w:val="Hyperlink"/>
                  <w:rFonts w:cs="Times New Roman" w:ascii="Times New Roman" w:hAnsi="Times New Roman"/>
                  <w:shd w:fill="auto" w:val="clear"/>
                </w:rPr>
                <w:t>*</w:t>
              </w:r>
            </w:hyperlink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56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/>
            </w:pPr>
            <w:hyperlink w:anchor="P3816">
              <w:r>
                <w:rPr>
                  <w:rStyle w:val="Hyperlink"/>
                  <w:rFonts w:cs="Times New Roman" w:ascii="Times New Roman" w:hAnsi="Times New Roman"/>
                  <w:shd w:fill="auto" w:val="clear"/>
                </w:rPr>
                <w:t>*</w:t>
              </w:r>
            </w:hyperlink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56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/>
            </w:pPr>
            <w:hyperlink w:anchor="P3816">
              <w:r>
                <w:rPr>
                  <w:rStyle w:val="Hyperlink"/>
                  <w:rFonts w:cs="Times New Roman" w:ascii="Times New Roman" w:hAnsi="Times New Roman"/>
                  <w:shd w:fill="auto" w:val="clear"/>
                </w:rPr>
                <w:t>*</w:t>
              </w:r>
            </w:hyperlink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jc w:val="right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Итого</w:t>
            </w:r>
          </w:p>
        </w:tc>
        <w:tc>
          <w:tcPr>
            <w:tcW w:w="156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/>
            </w:pPr>
            <w:hyperlink w:anchor="P3816">
              <w:r>
                <w:rPr>
                  <w:rStyle w:val="Hyperlink"/>
                  <w:rFonts w:cs="Times New Roman" w:ascii="Times New Roman" w:hAnsi="Times New Roman"/>
                  <w:shd w:fill="auto" w:val="clear"/>
                </w:rPr>
                <w:t>*</w:t>
              </w:r>
            </w:hyperlink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/>
            </w:pPr>
            <w:hyperlink w:anchor="P3816">
              <w:r>
                <w:rPr>
                  <w:rStyle w:val="Hyperlink"/>
                  <w:rFonts w:cs="Times New Roman" w:ascii="Times New Roman" w:hAnsi="Times New Roman"/>
                  <w:shd w:fill="auto" w:val="clear"/>
                </w:rPr>
                <w:t>*</w:t>
              </w:r>
            </w:hyperlink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</w:tr>
    </w:tbl>
    <w:p>
      <w:pPr>
        <w:sectPr>
          <w:footerReference w:type="default" r:id="rId15"/>
          <w:footerReference w:type="first" r:id="rId16"/>
          <w:footnotePr>
            <w:numFmt w:val="decimal"/>
            <w:numRestart w:val="eachSect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ConsPlusNonformat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2"/>
          <w:szCs w:val="22"/>
          <w:shd w:fill="auto" w:val="clear"/>
        </w:rPr>
        <w:t>Примечание: &lt;*&gt; Графы для расчета коэффициента в таблице не заполняются</w:t>
      </w:r>
      <w:r>
        <w:br w:type="page"/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Расчет стоимости проектных работ в соответствии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с калькуляцией затрат на проектирование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tbl>
      <w:tblPr>
        <w:tblW w:w="15501" w:type="dxa"/>
        <w:jc w:val="left"/>
        <w:tblInd w:w="-71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1" w:val="04a0" w:noHBand="0" w:lastColumn="0" w:firstColumn="1" w:lastRow="0" w:firstRow="1"/>
      </w:tblPr>
      <w:tblGrid>
        <w:gridCol w:w="1833"/>
        <w:gridCol w:w="1276"/>
        <w:gridCol w:w="1700"/>
        <w:gridCol w:w="1845"/>
        <w:gridCol w:w="1133"/>
        <w:gridCol w:w="1702"/>
        <w:gridCol w:w="1415"/>
        <w:gridCol w:w="1702"/>
        <w:gridCol w:w="1605"/>
        <w:gridCol w:w="1288"/>
      </w:tblGrid>
      <w:tr>
        <w:trPr/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Среднемесячная зарплата исполнителей, руб.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Кол-во рабочих дней в месяце, дни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Среднедневная зарплата исполнителей, руб.</w:t>
            </w:r>
          </w:p>
          <w:p>
            <w:pPr>
              <w:pStyle w:val="ConsPlusNormal1"/>
              <w:widowControl w:val="false"/>
              <w:ind w:firstLine="60"/>
              <w:jc w:val="center"/>
              <w:rPr/>
            </w:pPr>
            <w:r>
              <w:rPr>
                <w:rFonts w:cs="Times New Roman" w:ascii="Times New Roman" w:hAnsi="Times New Roman"/>
                <w:shd w:fill="auto" w:val="clear"/>
              </w:rPr>
              <w:t>(</w:t>
            </w:r>
            <w:hyperlink w:anchor="P3831">
              <w:r>
                <w:rPr>
                  <w:rStyle w:val="Hyperlink"/>
                  <w:rFonts w:cs="Times New Roman" w:ascii="Times New Roman" w:hAnsi="Times New Roman"/>
                  <w:shd w:fill="auto" w:val="clear"/>
                </w:rPr>
                <w:t>гр 1</w:t>
              </w:r>
            </w:hyperlink>
            <w:r>
              <w:rPr>
                <w:rFonts w:cs="Times New Roman" w:ascii="Times New Roman" w:hAnsi="Times New Roman"/>
                <w:shd w:fill="auto" w:val="clear"/>
              </w:rPr>
              <w:t xml:space="preserve"> / </w:t>
            </w:r>
            <w:hyperlink w:anchor="P3832">
              <w:r>
                <w:rPr>
                  <w:rStyle w:val="Hyperlink"/>
                  <w:rFonts w:cs="Times New Roman" w:ascii="Times New Roman" w:hAnsi="Times New Roman"/>
                  <w:shd w:fill="auto" w:val="clear"/>
                </w:rPr>
                <w:t>гр 2</w:t>
              </w:r>
            </w:hyperlink>
            <w:r>
              <w:rPr>
                <w:rFonts w:cs="Times New Roman" w:ascii="Times New Roman" w:hAnsi="Times New Roman"/>
                <w:shd w:fill="auto" w:val="clear"/>
              </w:rPr>
              <w:t>)</w:t>
            </w:r>
          </w:p>
        </w:tc>
        <w:tc>
          <w:tcPr>
            <w:tcW w:w="18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Удельный вес зарплаты в себестоимости работ - Кз, %</w:t>
            </w:r>
          </w:p>
        </w:tc>
        <w:tc>
          <w:tcPr>
            <w:tcW w:w="11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Рентабель-ность, %</w:t>
            </w:r>
          </w:p>
        </w:tc>
        <w:tc>
          <w:tcPr>
            <w:tcW w:w="17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/>
            </w:pPr>
            <w:r>
              <w:rPr>
                <w:rFonts w:cs="Times New Roman" w:ascii="Times New Roman" w:hAnsi="Times New Roman"/>
                <w:shd w:fill="auto" w:val="clear"/>
              </w:rPr>
              <w:t>Среднедневная единичная выработка, руб. (</w:t>
            </w:r>
            <w:hyperlink w:anchor="P3833">
              <w:r>
                <w:rPr>
                  <w:rStyle w:val="Hyperlink"/>
                  <w:rFonts w:cs="Times New Roman" w:ascii="Times New Roman" w:hAnsi="Times New Roman"/>
                  <w:shd w:fill="auto" w:val="clear"/>
                </w:rPr>
                <w:t>гр. 3</w:t>
              </w:r>
            </w:hyperlink>
            <w:r>
              <w:rPr>
                <w:rFonts w:cs="Times New Roman" w:ascii="Times New Roman" w:hAnsi="Times New Roman"/>
                <w:shd w:fill="auto" w:val="clear"/>
              </w:rPr>
              <w:t xml:space="preserve"> x (1 + </w:t>
            </w:r>
            <w:hyperlink w:anchor="P3835">
              <w:r>
                <w:rPr>
                  <w:rStyle w:val="Hyperlink"/>
                  <w:rFonts w:cs="Times New Roman" w:ascii="Times New Roman" w:hAnsi="Times New Roman"/>
                  <w:shd w:fill="auto" w:val="clear"/>
                </w:rPr>
                <w:t>гр. 5</w:t>
              </w:r>
            </w:hyperlink>
            <w:r>
              <w:rPr>
                <w:rFonts w:cs="Times New Roman" w:ascii="Times New Roman" w:hAnsi="Times New Roman"/>
                <w:shd w:fill="auto" w:val="clear"/>
              </w:rPr>
              <w:t xml:space="preserve">)) / </w:t>
            </w:r>
            <w:hyperlink w:anchor="P3834">
              <w:r>
                <w:rPr>
                  <w:rStyle w:val="Hyperlink"/>
                  <w:rFonts w:cs="Times New Roman" w:ascii="Times New Roman" w:hAnsi="Times New Roman"/>
                  <w:shd w:fill="auto" w:val="clear"/>
                </w:rPr>
                <w:t>гр. 4</w:t>
              </w:r>
            </w:hyperlink>
          </w:p>
        </w:tc>
        <w:tc>
          <w:tcPr>
            <w:tcW w:w="14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Продолжи-тельность разработки (дни)</w:t>
            </w:r>
          </w:p>
        </w:tc>
        <w:tc>
          <w:tcPr>
            <w:tcW w:w="17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Численность исполнителей (чел.)</w:t>
            </w:r>
          </w:p>
        </w:tc>
        <w:tc>
          <w:tcPr>
            <w:tcW w:w="16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 xml:space="preserve">Коэффициент квалификации (участия)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Ккв-уч</w:t>
            </w:r>
          </w:p>
        </w:tc>
        <w:tc>
          <w:tcPr>
            <w:tcW w:w="12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 xml:space="preserve">Стоимость работ, руб. </w:t>
            </w:r>
          </w:p>
          <w:p>
            <w:pPr>
              <w:pStyle w:val="ConsPlusNormal1"/>
              <w:widowControl w:val="false"/>
              <w:ind w:firstLine="60"/>
              <w:jc w:val="center"/>
              <w:rPr/>
            </w:pPr>
            <w:r>
              <w:rPr>
                <w:rFonts w:cs="Times New Roman" w:ascii="Times New Roman" w:hAnsi="Times New Roman"/>
                <w:shd w:fill="auto" w:val="clear"/>
              </w:rPr>
              <w:t>С = (</w:t>
            </w:r>
            <w:hyperlink w:anchor="P3836">
              <w:r>
                <w:rPr>
                  <w:rStyle w:val="Hyperlink"/>
                  <w:rFonts w:cs="Times New Roman" w:ascii="Times New Roman" w:hAnsi="Times New Roman"/>
                  <w:shd w:fill="auto" w:val="clear"/>
                </w:rPr>
                <w:t>гр. 6</w:t>
              </w:r>
            </w:hyperlink>
            <w:r>
              <w:rPr>
                <w:rFonts w:cs="Times New Roman" w:ascii="Times New Roman" w:hAnsi="Times New Roman"/>
                <w:shd w:fill="auto" w:val="clear"/>
              </w:rPr>
              <w:t xml:space="preserve"> x </w:t>
            </w:r>
            <w:hyperlink w:anchor="P3837">
              <w:r>
                <w:rPr>
                  <w:rStyle w:val="Hyperlink"/>
                  <w:rFonts w:cs="Times New Roman" w:ascii="Times New Roman" w:hAnsi="Times New Roman"/>
                  <w:shd w:fill="auto" w:val="clear"/>
                </w:rPr>
                <w:t>гр. 7</w:t>
              </w:r>
            </w:hyperlink>
            <w:r>
              <w:rPr>
                <w:rFonts w:cs="Times New Roman" w:ascii="Times New Roman" w:hAnsi="Times New Roman"/>
                <w:shd w:fill="auto" w:val="clear"/>
              </w:rPr>
              <w:t xml:space="preserve"> x </w:t>
            </w:r>
            <w:hyperlink w:anchor="P3838">
              <w:r>
                <w:rPr>
                  <w:rStyle w:val="Hyperlink"/>
                  <w:rFonts w:cs="Times New Roman" w:ascii="Times New Roman" w:hAnsi="Times New Roman"/>
                  <w:shd w:fill="auto" w:val="clear"/>
                </w:rPr>
                <w:t>гр. 8</w:t>
              </w:r>
            </w:hyperlink>
            <w:r>
              <w:rPr>
                <w:rFonts w:cs="Times New Roman" w:ascii="Times New Roman" w:hAnsi="Times New Roman"/>
                <w:shd w:fill="auto" w:val="clear"/>
              </w:rPr>
              <w:t xml:space="preserve"> x </w:t>
            </w:r>
            <w:hyperlink w:anchor="P3839">
              <w:r>
                <w:rPr>
                  <w:rStyle w:val="Hyperlink"/>
                  <w:rFonts w:cs="Times New Roman" w:ascii="Times New Roman" w:hAnsi="Times New Roman"/>
                  <w:shd w:fill="auto" w:val="clear"/>
                </w:rPr>
                <w:t>гр. 9</w:t>
              </w:r>
            </w:hyperlink>
            <w:r>
              <w:rPr>
                <w:rFonts w:cs="Times New Roman" w:ascii="Times New Roman" w:hAnsi="Times New Roman"/>
                <w:shd w:fill="auto" w:val="clear"/>
              </w:rPr>
              <w:t>)</w:t>
            </w:r>
          </w:p>
        </w:tc>
      </w:tr>
      <w:tr>
        <w:trPr/>
        <w:tc>
          <w:tcPr>
            <w:tcW w:w="18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7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3</w:t>
            </w:r>
          </w:p>
        </w:tc>
        <w:tc>
          <w:tcPr>
            <w:tcW w:w="184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4</w:t>
            </w:r>
          </w:p>
        </w:tc>
        <w:tc>
          <w:tcPr>
            <w:tcW w:w="113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5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6</w:t>
            </w:r>
          </w:p>
        </w:tc>
        <w:tc>
          <w:tcPr>
            <w:tcW w:w="141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8</w:t>
            </w:r>
          </w:p>
        </w:tc>
        <w:tc>
          <w:tcPr>
            <w:tcW w:w="160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9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3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10</w:t>
            </w:r>
          </w:p>
        </w:tc>
      </w:tr>
      <w:tr>
        <w:trPr/>
        <w:tc>
          <w:tcPr>
            <w:tcW w:w="18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84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13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41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60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4"/>
          <w:szCs w:val="24"/>
          <w:highlight w:val="none"/>
          <w:shd w:fill="auto" w:val="clear"/>
        </w:rPr>
      </w:pPr>
      <w:r>
        <w:rPr>
          <w:rFonts w:eastAsia="Calibri" w:cs="Times New Roman" w:eastAsiaTheme="minorHAnsi" w:ascii="Times New Roman" w:hAnsi="Times New Roman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Руководитель</w:t>
      </w:r>
    </w:p>
    <w:p>
      <w:pPr>
        <w:pStyle w:val="Normal"/>
        <w:spacing w:lineRule="auto" w:line="240" w:before="0" w:after="0"/>
        <w:ind w:right="2947" w:hanging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проектной организации 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i/>
          <w:iCs/>
          <w:shd w:fill="auto" w:val="clear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highlight w:val="none"/>
          <w:shd w:fill="auto" w:val="clear"/>
        </w:rPr>
      </w:pPr>
      <w:r>
        <w:rPr>
          <w:rFonts w:ascii="Times New Roman" w:hAnsi="Times New Roman"/>
          <w:i/>
          <w:iCs/>
          <w:shd w:fill="auto" w:val="clear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Главный инженер</w:t>
      </w:r>
    </w:p>
    <w:p>
      <w:pPr>
        <w:pStyle w:val="Normal"/>
        <w:spacing w:lineRule="auto" w:line="240" w:before="0" w:after="0"/>
        <w:ind w:right="2947" w:hanging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проекта _______________________________________________________________________________________________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i/>
          <w:iCs/>
          <w:shd w:fill="auto" w:val="clear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highlight w:val="none"/>
          <w:shd w:fill="auto" w:val="clear"/>
        </w:rPr>
      </w:pPr>
      <w:r>
        <w:rPr>
          <w:rFonts w:ascii="Times New Roman" w:hAnsi="Times New Roman"/>
          <w:i/>
          <w:iCs/>
          <w:shd w:fill="auto" w:val="clear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highlight w:val="none"/>
          <w:shd w:fill="auto" w:val="clear"/>
        </w:rPr>
      </w:pPr>
      <w:r>
        <w:rPr>
          <w:rFonts w:ascii="Times New Roman" w:hAnsi="Times New Roman"/>
          <w:i/>
          <w:iCs/>
          <w:shd w:fill="auto" w:val="clear"/>
        </w:rPr>
      </w:r>
      <w:bookmarkStart w:id="20" w:name="_MON_1758635370_Копия_1"/>
      <w:bookmarkStart w:id="21" w:name="_MON_1758635370"/>
      <w:bookmarkStart w:id="22" w:name="_MON_1758635370_Копия_1"/>
      <w:bookmarkStart w:id="23" w:name="_MON_1758635370"/>
      <w:bookmarkEnd w:id="22"/>
      <w:bookmarkEnd w:id="23"/>
    </w:p>
    <w:p>
      <w:pPr>
        <w:sectPr>
          <w:footerReference w:type="default" r:id="rId19"/>
          <w:footerReference w:type="first" r:id="rId20"/>
          <w:footnotePr>
            <w:numFmt w:val="decimal"/>
            <w:numRestart w:val="eachSect"/>
          </w:footnotePr>
          <w:type w:val="nextPage"/>
          <w:pgSz w:orient="landscape" w:w="16838" w:h="11906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ConsPlusNormal1"/>
        <w:ind w:hanging="0"/>
        <w:jc w:val="both"/>
        <w:rPr>
          <w:highlight w:val="none"/>
          <w:shd w:fill="auto" w:val="clear"/>
        </w:rPr>
      </w:pPr>
      <w:bookmarkStart w:id="24" w:name="_MON_1758635370_Копия_1"/>
      <w:bookmarkEnd w:id="24"/>
      <w:r>
        <w:rPr>
          <w:shd w:fill="auto" w:val="clear"/>
        </w:rPr>
        <w:object>
          <v:shapetype id="_x0000_tole_rId17" coordsize="21600,21600" o:spt="ole_rId17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17" type="_x0000_tole_rId17" style="width:79.45pt;height:50.65pt;mso-wrap-distance-right:0pt" filled="f" o:ole="">
            <v:imagedata r:id="rId18" o:title=""/>
          </v:shape>
          <o:OLEObject Type="Embed" ProgID="Excel.Sheet.12" ShapeID="ole_rId17" DrawAspect="Icon" ObjectID="_582093257" r:id="rId17"/>
        </w:objec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bookmarkStart w:id="25" w:name="P3865"/>
      <w:bookmarkEnd w:id="25"/>
      <w:r>
        <w:rPr>
          <w:rFonts w:ascii="Times New Roman" w:hAnsi="Times New Roman"/>
          <w:shd w:fill="auto" w:val="clear"/>
        </w:rPr>
        <w:t>Образец сметного расчета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на командировочные расходы по работам,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связанным с проектированием объекта (форма 4п)</w:t>
      </w:r>
    </w:p>
    <w:p>
      <w:pPr>
        <w:pStyle w:val="ConsPlusNormal1"/>
        <w:jc w:val="both"/>
        <w:rPr>
          <w:rFonts w:ascii="Times New Roman" w:hAnsi="Times New Roman" w:cs="Times New Roman"/>
          <w:sz w:val="22"/>
          <w:szCs w:val="22"/>
          <w:highlight w:val="none"/>
          <w:shd w:fill="auto" w:val="clear"/>
        </w:rPr>
      </w:pPr>
      <w:r>
        <w:rPr>
          <w:rFonts w:cs="Times New Roman" w:ascii="Times New Roman" w:hAnsi="Times New Roman"/>
          <w:sz w:val="22"/>
          <w:szCs w:val="22"/>
          <w:shd w:fill="auto" w:val="clear"/>
        </w:rPr>
      </w:r>
    </w:p>
    <w:tbl>
      <w:tblPr>
        <w:tblW w:w="1503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1" w:val="04a0" w:noHBand="0" w:lastColumn="0" w:firstColumn="1" w:lastRow="0" w:firstRow="1"/>
      </w:tblPr>
      <w:tblGrid>
        <w:gridCol w:w="491"/>
        <w:gridCol w:w="1626"/>
        <w:gridCol w:w="1698"/>
        <w:gridCol w:w="1973"/>
        <w:gridCol w:w="2664"/>
        <w:gridCol w:w="1271"/>
        <w:gridCol w:w="1917"/>
        <w:gridCol w:w="1993"/>
        <w:gridCol w:w="1403"/>
      </w:tblGrid>
      <w:tr>
        <w:trPr>
          <w:trHeight w:val="644" w:hRule="atLeast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N п/п</w:t>
            </w:r>
          </w:p>
        </w:tc>
        <w:tc>
          <w:tcPr>
            <w:tcW w:w="16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Пункт назначения</w:t>
            </w:r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Количество специалистов</w:t>
            </w:r>
          </w:p>
        </w:tc>
        <w:tc>
          <w:tcPr>
            <w:tcW w:w="19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Проезд к месту командировки (туда и обратно)</w:t>
            </w:r>
          </w:p>
        </w:tc>
        <w:tc>
          <w:tcPr>
            <w:tcW w:w="26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 xml:space="preserve">Проживание в номере гостиницы класса "3 звезды",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 чел/сутки.</w:t>
            </w: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Суточные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 сутки/руб.</w:t>
            </w:r>
          </w:p>
        </w:tc>
        <w:tc>
          <w:tcPr>
            <w:tcW w:w="19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Продолжительность командировки, сутки</w:t>
            </w:r>
          </w:p>
        </w:tc>
        <w:tc>
          <w:tcPr>
            <w:tcW w:w="19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Продолжительность проживания в гостинице, сутки</w:t>
            </w:r>
          </w:p>
        </w:tc>
        <w:tc>
          <w:tcPr>
            <w:tcW w:w="14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Итого затрат, рубли</w:t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</w:t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</w:t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3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4</w:t>
            </w: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5</w:t>
            </w: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6</w:t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</w:t>
            </w:r>
          </w:p>
        </w:tc>
        <w:tc>
          <w:tcPr>
            <w:tcW w:w="199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8</w:t>
            </w:r>
          </w:p>
        </w:tc>
        <w:tc>
          <w:tcPr>
            <w:tcW w:w="14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9</w:t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99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4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99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4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99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4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</w:tr>
      <w:tr>
        <w:trPr/>
        <w:tc>
          <w:tcPr>
            <w:tcW w:w="381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Итого по сметному расчету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99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4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2"/>
          <w:szCs w:val="22"/>
          <w:highlight w:val="none"/>
          <w:shd w:fill="auto" w:val="clear"/>
        </w:rPr>
      </w:pPr>
      <w:r>
        <w:rPr>
          <w:rFonts w:eastAsia="Calibri" w:cs="Times New Roman" w:eastAsiaTheme="minorHAnsi" w:ascii="Times New Roman" w:hAnsi="Times New Roman"/>
          <w:sz w:val="22"/>
          <w:szCs w:val="22"/>
          <w:shd w:fill="auto" w:val="clear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Руководитель</w:t>
      </w:r>
    </w:p>
    <w:p>
      <w:pPr>
        <w:pStyle w:val="Normal"/>
        <w:spacing w:lineRule="auto" w:line="240" w:before="0" w:after="0"/>
        <w:ind w:right="2947" w:hanging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проектной организации 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i/>
          <w:iCs/>
          <w:shd w:fill="auto" w:val="clear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highlight w:val="none"/>
          <w:shd w:fill="auto" w:val="clear"/>
        </w:rPr>
      </w:pPr>
      <w:r>
        <w:rPr>
          <w:rFonts w:ascii="Times New Roman" w:hAnsi="Times New Roman"/>
          <w:i/>
          <w:iCs/>
          <w:shd w:fill="auto" w:val="clear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Главный инженер</w:t>
      </w:r>
    </w:p>
    <w:p>
      <w:pPr>
        <w:pStyle w:val="Normal"/>
        <w:spacing w:lineRule="auto" w:line="240" w:before="0" w:after="0"/>
        <w:ind w:right="2947" w:hanging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hd w:fill="auto" w:val="clear"/>
        </w:rPr>
        <w:t>проекта 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i/>
          <w:iCs/>
          <w:shd w:fill="auto" w:val="clear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highlight w:val="none"/>
          <w:shd w:fill="auto" w:val="clear"/>
        </w:rPr>
      </w:pPr>
      <w:r>
        <w:rPr>
          <w:rFonts w:ascii="Times New Roman" w:hAnsi="Times New Roman"/>
          <w:i/>
          <w:iCs/>
          <w:shd w:fill="auto" w:val="clear"/>
        </w:rPr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highlight w:val="none"/>
          <w:shd w:fill="auto" w:val="clear"/>
        </w:rPr>
      </w:pPr>
      <w:r>
        <w:rPr>
          <w:rFonts w:ascii="Times New Roman" w:hAnsi="Times New Roman"/>
          <w:i/>
          <w:iCs/>
          <w:shd w:fill="auto" w:val="clear"/>
        </w:rPr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highlight w:val="none"/>
          <w:shd w:fill="auto" w:val="clear"/>
        </w:rPr>
      </w:pPr>
      <w:r>
        <w:rPr>
          <w:rFonts w:ascii="Times New Roman" w:hAnsi="Times New Roman"/>
          <w:i/>
          <w:iCs/>
          <w:shd w:fill="auto" w:val="clear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highlight w:val="none"/>
          <w:shd w:fill="auto" w:val="clear"/>
        </w:rPr>
      </w:pPr>
      <w:bookmarkStart w:id="26" w:name="_Hlk146878269"/>
      <w:r>
        <w:rPr>
          <w:shd w:fill="auto" w:val="clear"/>
        </w:rPr>
        <w:object>
          <v:shapetype id="_x0000_tole_rId21" coordsize="21600,21600" o:spt="ole_rId21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1" type="_x0000_tole_rId21" style="width:79.45pt;height:50.65pt;mso-wrap-distance-right:0pt" filled="f" o:ole="">
            <v:imagedata r:id="rId22" o:title=""/>
          </v:shape>
          <o:OLEObject Type="Embed" ProgID="Excel.Sheet.12" ShapeID="ole_rId21" DrawAspect="Icon" ObjectID="_843513440" r:id="rId21"/>
        </w:object>
      </w:r>
      <w:bookmarkEnd w:id="26"/>
    </w:p>
    <w:sectPr>
      <w:footerReference w:type="default" r:id="rId23"/>
      <w:footerReference w:type="first" r:id="rId24"/>
      <w:footnotePr>
        <w:numFmt w:val="decimal"/>
        <w:numRestart w:val="eachSect"/>
      </w:footnotePr>
      <w:type w:val="nextPage"/>
      <w:pgSz w:orient="landscape" w:w="16838" w:h="11906"/>
      <w:pgMar w:left="1418" w:right="851" w:gutter="0" w:header="0" w:top="1134" w:footer="709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4222418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13</w:t>
    </w:r>
    <w:r>
      <w:rPr/>
      <w:fldChar w:fldCharType="end"/>
    </w:r>
  </w:p>
  <w:p>
    <w:pPr>
      <w:pStyle w:val="Footer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  <w:p>
    <w:pPr>
      <w:pStyle w:val="Footer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92796151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10831151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0470133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12</w:t>
    </w:r>
    <w:r>
      <w:rPr/>
      <w:fldChar w:fldCharType="end"/>
    </w:r>
  </w:p>
  <w:p>
    <w:pPr>
      <w:pStyle w:val="Footer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18"/>
          <w:szCs w:val="18"/>
        </w:rPr>
      </w:pPr>
      <w:r>
        <w:rPr>
          <w:rStyle w:val="Style3"/>
        </w:rPr>
        <w:footnoteRef/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На официальном сайте единой межведомственной информационно-статистической системы (ЕМИСС) https://www.fedstat.ru указанная информация представлена по показателю «Среднемесячная номинальная начисленная заработная плата работающих в экономике с 2017 г.», в графе «Классификатор видов экономической деятельности» следует выбрать «Деятельность в области архитектуры и инженерно-технического проектирования; технических испытаний, исследований и анализа».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spacing w:lineRule="auto" w:line="240" w:before="0" w:after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Для работ по проектированию объектов, являющихся особо опасными, технически сложными, уникальными объектами следует выбрать «Деятельность в области архитектуры, инженерных изысканий и предоставление технических консультаций в этих областях».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sz w:val="24"/>
        <w:i w:val="false"/>
        <w:u w:val="none"/>
        <w:b w:val="false"/>
        <w:szCs w:val="24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sz w:val="24"/>
        <w:u w:val="none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false"/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397"/>
        </w:tabs>
        <w:ind w:left="0" w:hanging="0"/>
      </w:pPr>
      <w:rPr>
        <w:i w:val="false"/>
        <w:b w:val="fals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0"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4"/>
      <w:numFmt w:val="decimal"/>
      <w:lvlText w:val="%1.%2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/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11"/>
  <w:defaultTabStop w:val="709"/>
  <w:autoHyphenation w:val="true"/>
  <w:footnotePr>
    <w:numFmt w:val="decimal"/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d2f0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>
    <w:name w:val="Символ сноски"/>
    <w:uiPriority w:val="99"/>
    <w:unhideWhenUsed/>
    <w:qFormat/>
    <w:rsid w:val="0080406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5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9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dc37db"/>
    <w:rPr/>
  </w:style>
  <w:style w:type="character" w:styleId="Style17">
    <w:name w:val="Символ концевой сноски"/>
    <w:uiPriority w:val="99"/>
    <w:semiHidden/>
    <w:unhideWhenUsed/>
    <w:qFormat/>
    <w:rsid w:val="00dc37db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470434"/>
    <w:rPr>
      <w:color w:val="808080"/>
    </w:rPr>
  </w:style>
  <w:style w:type="character" w:styleId="Style18" w:customStyle="1">
    <w:name w:val="РГ_номер текста табл Знак"/>
    <w:basedOn w:val="12"/>
    <w:link w:val="Style34"/>
    <w:qFormat/>
    <w:rsid w:val="00470434"/>
    <w:rPr>
      <w:rFonts w:ascii="Calibri" w:hAnsi="Calibri" w:eastAsia="Calibri" w:cs="Calibri" w:asciiTheme="minorHAnsi" w:cstheme="minorHAnsi" w:hAnsiTheme="minorHAnsi"/>
      <w:sz w:val="24"/>
      <w:szCs w:val="22"/>
      <w:lang w:eastAsia="en-US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/>
  </w:style>
  <w:style w:type="paragraph" w:styleId="ListParagraph">
    <w:name w:val="List Paragraph"/>
    <w:basedOn w:val="Normal"/>
    <w:link w:val="Style13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2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3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4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5" w:customStyle="1">
    <w:name w:val="Подпункт"/>
    <w:basedOn w:val="Style24"/>
    <w:link w:val="1"/>
    <w:qFormat/>
    <w:rsid w:val="00b5006b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6" w:customStyle="1">
    <w:name w:val="Подподпункт"/>
    <w:basedOn w:val="Style25"/>
    <w:qFormat/>
    <w:rsid w:val="00b5006b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7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8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9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9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31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2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3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8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ConsPlusNonformat" w:customStyle="1">
    <w:name w:val="ConsPlusNonformat"/>
    <w:basedOn w:val="Normal"/>
    <w:qFormat/>
    <w:rsid w:val="000753e1"/>
    <w:pPr>
      <w:spacing w:lineRule="auto" w:line="240" w:before="0" w:after="0"/>
    </w:pPr>
    <w:rPr>
      <w:rFonts w:ascii="Courier New" w:hAnsi="Courier New" w:eastAsia="Calibri" w:cs="Courier New" w:eastAsiaTheme="minorHAnsi"/>
      <w:sz w:val="20"/>
      <w:szCs w:val="20"/>
    </w:rPr>
  </w:style>
  <w:style w:type="paragraph" w:styleId="Dt-p" w:customStyle="1">
    <w:name w:val="dt-p"/>
    <w:basedOn w:val="Normal"/>
    <w:qFormat/>
    <w:rsid w:val="00a0515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6"/>
    <w:uiPriority w:val="99"/>
    <w:semiHidden/>
    <w:unhideWhenUsed/>
    <w:rsid w:val="00dc37db"/>
    <w:pPr>
      <w:spacing w:lineRule="auto" w:line="240" w:before="0" w:after="0"/>
    </w:pPr>
    <w:rPr>
      <w:sz w:val="20"/>
      <w:szCs w:val="20"/>
    </w:rPr>
  </w:style>
  <w:style w:type="paragraph" w:styleId="Style34" w:customStyle="1">
    <w:name w:val="РГ_номер текста табл"/>
    <w:basedOn w:val="ListParagraph"/>
    <w:link w:val="Style18"/>
    <w:qFormat/>
    <w:rsid w:val="00470434"/>
    <w:pPr>
      <w:numPr>
        <w:ilvl w:val="0"/>
        <w:numId w:val="9"/>
      </w:numPr>
      <w:spacing w:lineRule="auto" w:line="240" w:before="0" w:after="0"/>
      <w:contextualSpacing/>
      <w:jc w:val="both"/>
    </w:pPr>
    <w:rPr>
      <w:rFonts w:ascii="Calibri" w:hAnsi="Calibri" w:eastAsia="Calibri" w:cs="Calibri" w:asciiTheme="minorHAnsi" w:cstheme="minorHAnsi" w:hAnsiTheme="minorHAnsi"/>
      <w:sz w:val="24"/>
      <w:lang w:eastAsia="en-US"/>
    </w:rPr>
  </w:style>
  <w:style w:type="paragraph" w:styleId="111" w:customStyle="1">
    <w:name w:val="1.1. таблица"/>
    <w:basedOn w:val="Style34"/>
    <w:qFormat/>
    <w:rsid w:val="00470434"/>
    <w:pPr>
      <w:numPr>
        <w:ilvl w:val="1"/>
      </w:numPr>
      <w:tabs>
        <w:tab w:val="clear" w:pos="709"/>
      </w:tabs>
      <w:ind w:left="1440" w:hanging="360"/>
    </w:pPr>
    <w:rPr/>
  </w:style>
  <w:style w:type="paragraph" w:styleId="Xmsolistparagraph" w:customStyle="1">
    <w:name w:val="x_msolistparagraph"/>
    <w:basedOn w:val="Normal"/>
    <w:qFormat/>
    <w:rsid w:val="001d51d9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35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6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hyperlink" Target="../../../1.%20&#1042;&#1085;&#1077;&#1087;&#1083;&#1072;&#1085;/2.%20&#1055;&#1057;%20&#1043;&#1072;&#1079;&#1087;&#1088;&#1086;&#1084;/1.%20&#1042;&#1051;%2035%20&#1082;&#1042;/6.%20&#1057;&#1052;&#1056;%20&#1055;&#1077;&#1090;&#1088;&#1086;&#1074;&#1080;&#1095;&#1080;%20&#1086;&#1089;&#1090;&#1072;&#1090;&#1082;&#1080;/7.%20&#1047;&#1072;&#1084;&#1077;&#1095;&#1072;&#1085;&#1080;&#1103;%20&#1056;&#1043;/0.%20&#1061;&#1083;&#1072;&#1084;/3&#1055;" TargetMode="Externa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hyperlink" Target="consultantplus://offline/ref=B32CDE0E905E401B1BFF323EF993DB2C6865F0A971913444C3F7F56C5AF257E783F32977DF4E2DA4F5ACBC60359FF614F9C1315096B586250A26N" TargetMode="External"/><Relationship Id="rId7" Type="http://schemas.openxmlformats.org/officeDocument/2006/relationships/hyperlink" Target="consultantplus://offline/ref=B32CDE0E905E401B1BFF323EF993DB2C6F6DF7AA75973444C3F7F56C5AF257E783F32977DC422FF8A5E3BD3C70CDE515FFC133518A0B25N" TargetMode="External"/><Relationship Id="rId8" Type="http://schemas.openxmlformats.org/officeDocument/2006/relationships/hyperlink" Target="consultantplus://offline/ref=B32CDE0E905E401B1BFF323EF993DB2C6865F0A971913444C3F7F56C5AF257E783F32977DF4D24ACF0ACBC60359FF614F9C1315096B586250A26N" TargetMode="External"/><Relationship Id="rId9" Type="http://schemas.openxmlformats.org/officeDocument/2006/relationships/hyperlink" Target="consultantplus://offline/ref=B32CDE0E905E401B1BFF323EF993DB2C6F62F6A7789C3444C3F7F56C5AF257E783F32977DF4B25AAFDACBC60359FF614F9C1315096B586250A26N" TargetMode="External"/><Relationship Id="rId10" Type="http://schemas.openxmlformats.org/officeDocument/2006/relationships/hyperlink" Target="consultantplus://offline/ref=B32CDE0E905E401B1BFF323EF993DB2C6F6DF7AA75973444C3F7F56C5AF257E783F32974D8482DA7A0F6AC647CCBFC0BFEDE2F5388B50824N" TargetMode="External"/><Relationship Id="rId11" Type="http://schemas.openxmlformats.org/officeDocument/2006/relationships/footer" Target="footer4.xml"/><Relationship Id="rId12" Type="http://schemas.openxmlformats.org/officeDocument/2006/relationships/footer" Target="footer5.xml"/><Relationship Id="rId13" Type="http://schemas.openxmlformats.org/officeDocument/2006/relationships/footer" Target="footer6.xml"/><Relationship Id="rId14" Type="http://schemas.openxmlformats.org/officeDocument/2006/relationships/footer" Target="footer7.xml"/><Relationship Id="rId15" Type="http://schemas.openxmlformats.org/officeDocument/2006/relationships/footer" Target="footer8.xml"/><Relationship Id="rId16" Type="http://schemas.openxmlformats.org/officeDocument/2006/relationships/footer" Target="footer9.xml"/><Relationship Id="rId17" Type="http://schemas.openxmlformats.org/officeDocument/2006/relationships/package" Target="embeddings/oleObject1.xlsx"/><Relationship Id="rId18" Type="http://schemas.openxmlformats.org/officeDocument/2006/relationships/image" Target="media/image1.wmf"/><Relationship Id="rId19" Type="http://schemas.openxmlformats.org/officeDocument/2006/relationships/footer" Target="footer10.xml"/><Relationship Id="rId20" Type="http://schemas.openxmlformats.org/officeDocument/2006/relationships/footer" Target="footer11.xml"/><Relationship Id="rId21" Type="http://schemas.openxmlformats.org/officeDocument/2006/relationships/package" Target="embeddings/oleObject2.xlsx"/><Relationship Id="rId22" Type="http://schemas.openxmlformats.org/officeDocument/2006/relationships/image" Target="media/image2.wmf"/><Relationship Id="rId23" Type="http://schemas.openxmlformats.org/officeDocument/2006/relationships/footer" Target="footer12.xml"/><Relationship Id="rId24" Type="http://schemas.openxmlformats.org/officeDocument/2006/relationships/footer" Target="footer13.xml"/><Relationship Id="rId25" Type="http://schemas.openxmlformats.org/officeDocument/2006/relationships/footnotes" Target="footnotes.xml"/><Relationship Id="rId26" Type="http://schemas.openxmlformats.org/officeDocument/2006/relationships/numbering" Target="numbering.xml"/><Relationship Id="rId27" Type="http://schemas.openxmlformats.org/officeDocument/2006/relationships/fontTable" Target="fontTable.xml"/><Relationship Id="rId28" Type="http://schemas.openxmlformats.org/officeDocument/2006/relationships/settings" Target="settings.xml"/><Relationship Id="rId29" Type="http://schemas.openxmlformats.org/officeDocument/2006/relationships/theme" Target="theme/theme1.xml"/><Relationship Id="rId3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2405F-4D95-4B3D-A0E0-62E3909EF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AlterOffice/3.4.0.6$Linux_X86_64 LibreOffice_project/ad8c41dce69105450bf791d4900d64b1f82e10d0</Application>
  <AppVersion>15.0000</AppVersion>
  <Pages>14</Pages>
  <Words>3116</Words>
  <Characters>22943</Characters>
  <CharactersWithSpaces>23261</CharactersWithSpaces>
  <Paragraphs>323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2025-10-15T16:39:00Z</dcterms:created>
  <dc:creator>Торопов Денис Владимирович</dc:creator>
  <dc:description/>
  <dc:language>ru-RU</dc:language>
  <cp:lastModifiedBy>mozzhuhin_dyu</cp:lastModifiedBy>
  <cp:lastPrinted>2021-07-09T09:18:00Z</cp:lastPrinted>
  <dcterms:modified xsi:type="dcterms:W3CDTF">2026-06-12T12:54:52Z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